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EA43" w14:textId="77777777" w:rsidR="00BE2B41" w:rsidRPr="00896A6E" w:rsidRDefault="008C2717" w:rsidP="0093046C">
      <w:pPr>
        <w:pBdr>
          <w:bottom w:val="single" w:sz="4" w:space="1" w:color="auto"/>
        </w:pBdr>
        <w:jc w:val="center"/>
        <w:rPr>
          <w:b/>
          <w:caps/>
        </w:rPr>
      </w:pPr>
      <w:r>
        <w:rPr>
          <w:b/>
          <w:caps/>
        </w:rPr>
        <w:t xml:space="preserve">New Program </w:t>
      </w:r>
      <w:r w:rsidR="002063C3" w:rsidRPr="00896A6E">
        <w:rPr>
          <w:b/>
          <w:caps/>
        </w:rPr>
        <w:t>Tuition Consultation</w:t>
      </w:r>
      <w:r w:rsidR="0093046C" w:rsidRPr="00896A6E">
        <w:rPr>
          <w:b/>
          <w:caps/>
        </w:rPr>
        <w:t xml:space="preserve"> Template</w:t>
      </w:r>
    </w:p>
    <w:p w14:paraId="53FAC536" w14:textId="77777777" w:rsidR="008C2717" w:rsidRDefault="008C2717" w:rsidP="002063C3">
      <w:r>
        <w:t>This template is to assi</w:t>
      </w:r>
      <w:r w:rsidR="00ED3A2D">
        <w:t>st faculties in addressing the B</w:t>
      </w:r>
      <w:r>
        <w:t xml:space="preserve">oard requirement for student consultation around new program tuition and mandatory fees. </w:t>
      </w:r>
    </w:p>
    <w:p w14:paraId="566C7D49" w14:textId="77777777" w:rsidR="008C2717" w:rsidRDefault="0093046C" w:rsidP="002063C3">
      <w:r>
        <w:t>Th</w:t>
      </w:r>
      <w:r w:rsidR="008C2717">
        <w:t>e</w:t>
      </w:r>
      <w:r>
        <w:t xml:space="preserve"> template provides guidance on the information that will be provided to students in order to facilitate a consultation process</w:t>
      </w:r>
      <w:r w:rsidR="00E42581">
        <w:t xml:space="preserve"> on the tuition and any </w:t>
      </w:r>
      <w:r w:rsidR="008C2717">
        <w:t>program-specific</w:t>
      </w:r>
      <w:r w:rsidR="00E42581">
        <w:t xml:space="preserve"> mandatory fees</w:t>
      </w:r>
      <w:r w:rsidR="008C2717">
        <w:t>.</w:t>
      </w:r>
      <w:r w:rsidR="00E42581">
        <w:t xml:space="preserve"> </w:t>
      </w:r>
      <w:r>
        <w:t xml:space="preserve"> </w:t>
      </w:r>
      <w:r w:rsidR="008C2717">
        <w:t xml:space="preserve">The completed template will be shared with key constituency groups (AMS, GSS, and faculty-based student organizations) and be available online for the broader student community. </w:t>
      </w:r>
    </w:p>
    <w:p w14:paraId="1B0F3D1A" w14:textId="77777777" w:rsidR="008C2717" w:rsidRDefault="008C2717" w:rsidP="002063C3">
      <w:r>
        <w:t xml:space="preserve">The Vice-President Students Office (VPSO) will support the distribution of the completed template, and provide analysis and reporting of the comments to the faculties to support their Senate and Board submissions.  The VPSO </w:t>
      </w:r>
      <w:r w:rsidR="00ED3A2D">
        <w:t>can also play a role in</w:t>
      </w:r>
      <w:r>
        <w:t xml:space="preserve"> facilitat</w:t>
      </w:r>
      <w:r w:rsidR="00ED3A2D">
        <w:t>ing</w:t>
      </w:r>
      <w:r>
        <w:t xml:space="preserve"> face-to-face meetings between the faculties and appropriate student organizations as needed.</w:t>
      </w:r>
    </w:p>
    <w:p w14:paraId="32A7D148" w14:textId="77777777" w:rsidR="0093046C" w:rsidRDefault="0093046C" w:rsidP="002063C3">
      <w:r>
        <w:t xml:space="preserve">Students will be asked to comment only on the tuition </w:t>
      </w:r>
      <w:r w:rsidR="00E42581">
        <w:t xml:space="preserve">and the program’s mandatory fees (if applicable) </w:t>
      </w:r>
      <w:r>
        <w:t>as part of this consultation.</w:t>
      </w:r>
      <w:r w:rsidR="008C2717">
        <w:t xml:space="preserve"> </w:t>
      </w:r>
    </w:p>
    <w:p w14:paraId="6B1491E4" w14:textId="77777777" w:rsidR="002063C3" w:rsidRPr="0093046C" w:rsidRDefault="002063C3" w:rsidP="0093046C">
      <w:pPr>
        <w:pBdr>
          <w:top w:val="single" w:sz="4" w:space="1" w:color="auto"/>
          <w:left w:val="single" w:sz="4" w:space="4" w:color="auto"/>
          <w:bottom w:val="single" w:sz="4" w:space="1" w:color="auto"/>
          <w:right w:val="single" w:sz="4" w:space="4" w:color="auto"/>
        </w:pBdr>
        <w:rPr>
          <w:b/>
          <w:smallCaps/>
        </w:rPr>
      </w:pPr>
      <w:r w:rsidRPr="0093046C">
        <w:rPr>
          <w:b/>
          <w:smallCaps/>
        </w:rPr>
        <w:t>Program Overview</w:t>
      </w:r>
    </w:p>
    <w:p w14:paraId="0F2DD6C3" w14:textId="77777777" w:rsidR="002063C3" w:rsidRDefault="002063C3" w:rsidP="00BE19BA">
      <w:r>
        <w:t>This section should provide a</w:t>
      </w:r>
      <w:r w:rsidR="00F73D0E">
        <w:t>n</w:t>
      </w:r>
      <w:r>
        <w:t xml:space="preserve"> overview of the program, </w:t>
      </w:r>
      <w:r w:rsidR="00BE19BA">
        <w:t>in</w:t>
      </w:r>
      <w:r>
        <w:t>cluding</w:t>
      </w:r>
      <w:r w:rsidR="00BE19BA">
        <w:t xml:space="preserve"> a d</w:t>
      </w:r>
      <w:r>
        <w:t xml:space="preserve">escription of the program similar to what would be found in the </w:t>
      </w:r>
      <w:r w:rsidR="00383177">
        <w:t>academic ca</w:t>
      </w:r>
      <w:r w:rsidR="00BE19BA">
        <w:t xml:space="preserve">lendar. </w:t>
      </w:r>
    </w:p>
    <w:p w14:paraId="6C949EED" w14:textId="77777777" w:rsidR="00BE19BA" w:rsidRDefault="00BE19BA" w:rsidP="00BE19BA">
      <w:pPr>
        <w:spacing w:after="0" w:line="240" w:lineRule="auto"/>
        <w:ind w:left="720"/>
      </w:pPr>
      <w:r w:rsidRPr="00BE19BA">
        <w:rPr>
          <w:b/>
          <w:i/>
        </w:rPr>
        <w:t>OPTIONAL:</w:t>
      </w:r>
      <w:r>
        <w:rPr>
          <w:b/>
          <w:i/>
        </w:rPr>
        <w:t xml:space="preserve"> </w:t>
      </w:r>
      <w:r>
        <w:rPr>
          <w:b/>
          <w:i/>
        </w:rPr>
        <w:tab/>
      </w:r>
      <w:r w:rsidR="002063C3" w:rsidRPr="00BE19BA">
        <w:rPr>
          <w:b/>
          <w:i/>
        </w:rPr>
        <w:t>Key features of the program</w:t>
      </w:r>
      <w:r w:rsidR="002063C3">
        <w:t xml:space="preserve"> </w:t>
      </w:r>
    </w:p>
    <w:p w14:paraId="1CA1CAC2" w14:textId="77777777" w:rsidR="00E42581" w:rsidRDefault="00E42581" w:rsidP="00BE19BA">
      <w:pPr>
        <w:spacing w:after="0" w:line="240" w:lineRule="auto"/>
        <w:ind w:left="720"/>
      </w:pPr>
    </w:p>
    <w:p w14:paraId="05EC343F" w14:textId="77777777" w:rsidR="002063C3" w:rsidRDefault="00BE19BA" w:rsidP="00BE19BA">
      <w:pPr>
        <w:spacing w:after="0" w:line="240" w:lineRule="auto"/>
        <w:ind w:left="2160"/>
      </w:pPr>
      <w:r>
        <w:t xml:space="preserve">You may want to </w:t>
      </w:r>
      <w:r w:rsidR="002063C3">
        <w:t xml:space="preserve">highlight </w:t>
      </w:r>
      <w:r>
        <w:t xml:space="preserve">key features of the program </w:t>
      </w:r>
      <w:r w:rsidR="002063C3">
        <w:t xml:space="preserve">(especially those that may </w:t>
      </w:r>
      <w:r>
        <w:t xml:space="preserve">have an </w:t>
      </w:r>
      <w:r w:rsidR="002063C3">
        <w:t>impact on tuition</w:t>
      </w:r>
      <w:r w:rsidR="00E42581">
        <w:t xml:space="preserve"> and mandatory fees</w:t>
      </w:r>
      <w:r w:rsidR="002063C3">
        <w:t>), such as:</w:t>
      </w:r>
    </w:p>
    <w:p w14:paraId="519CF81A" w14:textId="77777777" w:rsidR="00BE19BA" w:rsidRDefault="00BE19BA" w:rsidP="00BE19BA">
      <w:pPr>
        <w:spacing w:after="0" w:line="240" w:lineRule="auto"/>
        <w:ind w:left="1440" w:firstLine="720"/>
      </w:pPr>
    </w:p>
    <w:p w14:paraId="0DE6E586" w14:textId="77777777" w:rsidR="002063C3" w:rsidRDefault="002063C3" w:rsidP="00BE19BA">
      <w:pPr>
        <w:pStyle w:val="ListParagraph"/>
        <w:numPr>
          <w:ilvl w:val="3"/>
          <w:numId w:val="1"/>
        </w:numPr>
      </w:pPr>
      <w:r>
        <w:t xml:space="preserve">Required </w:t>
      </w:r>
      <w:r w:rsidR="00ED3A2D">
        <w:t xml:space="preserve">specialized program components </w:t>
      </w:r>
    </w:p>
    <w:p w14:paraId="6E00049E" w14:textId="77777777" w:rsidR="002063C3" w:rsidRDefault="002063C3" w:rsidP="00BE19BA">
      <w:pPr>
        <w:pStyle w:val="ListParagraph"/>
        <w:numPr>
          <w:ilvl w:val="3"/>
          <w:numId w:val="1"/>
        </w:numPr>
      </w:pPr>
      <w:r>
        <w:t>Research intensive or professional program</w:t>
      </w:r>
    </w:p>
    <w:p w14:paraId="11BE116B" w14:textId="77777777" w:rsidR="00BE19BA" w:rsidRDefault="002063C3" w:rsidP="00BE19BA">
      <w:pPr>
        <w:pStyle w:val="ListParagraph"/>
        <w:numPr>
          <w:ilvl w:val="3"/>
          <w:numId w:val="1"/>
        </w:numPr>
      </w:pPr>
      <w:r>
        <w:t xml:space="preserve">High reliance on technology, </w:t>
      </w:r>
    </w:p>
    <w:p w14:paraId="43AEFEA0" w14:textId="77777777" w:rsidR="002063C3" w:rsidRDefault="002063C3" w:rsidP="00BE19BA">
      <w:pPr>
        <w:pStyle w:val="ListParagraph"/>
        <w:numPr>
          <w:ilvl w:val="3"/>
          <w:numId w:val="1"/>
        </w:numPr>
      </w:pPr>
      <w:r>
        <w:t>etc.</w:t>
      </w:r>
    </w:p>
    <w:p w14:paraId="2B6B2847" w14:textId="77777777" w:rsidR="002063C3" w:rsidRDefault="002063C3" w:rsidP="002063C3">
      <w:pPr>
        <w:pStyle w:val="ListParagraph"/>
      </w:pPr>
    </w:p>
    <w:p w14:paraId="48F4F1B3" w14:textId="77777777" w:rsidR="002063C3" w:rsidRDefault="002063C3" w:rsidP="00BE19BA">
      <w:pPr>
        <w:pStyle w:val="ListParagraph"/>
        <w:ind w:left="1440" w:firstLine="720"/>
      </w:pPr>
      <w:r>
        <w:t xml:space="preserve">An example of this would be: </w:t>
      </w:r>
    </w:p>
    <w:p w14:paraId="4C128C27" w14:textId="22CEAD00" w:rsidR="002063C3" w:rsidRDefault="00BE19BA" w:rsidP="00A779FA">
      <w:r>
        <w:t>“</w:t>
      </w:r>
      <w:r w:rsidR="002063C3">
        <w:t>The program includes a required practicum to provide students with an opportunity to apply their learning and gain experience. It also places a strong emphasis on working with the latest technology.</w:t>
      </w:r>
      <w:r>
        <w:t>”</w:t>
      </w:r>
    </w:p>
    <w:p w14:paraId="6DCF9B89" w14:textId="77777777" w:rsidR="00A779FA" w:rsidRDefault="00A779FA" w:rsidP="00A779FA"/>
    <w:p w14:paraId="7E9791E6" w14:textId="77777777" w:rsidR="002063C3" w:rsidRPr="00ED3A2D" w:rsidRDefault="00BE19BA" w:rsidP="00ED3A2D">
      <w:pPr>
        <w:pBdr>
          <w:top w:val="single" w:sz="4" w:space="1" w:color="auto"/>
          <w:left w:val="single" w:sz="4" w:space="4" w:color="auto"/>
          <w:bottom w:val="single" w:sz="4" w:space="1" w:color="auto"/>
          <w:right w:val="single" w:sz="4" w:space="4" w:color="auto"/>
        </w:pBdr>
        <w:rPr>
          <w:b/>
          <w:smallCaps/>
        </w:rPr>
      </w:pPr>
      <w:r w:rsidRPr="00ED3A2D">
        <w:rPr>
          <w:b/>
          <w:smallCaps/>
        </w:rPr>
        <w:t>Student consultation during the program development process</w:t>
      </w:r>
    </w:p>
    <w:p w14:paraId="17C52DAD" w14:textId="77777777" w:rsidR="00BE19BA" w:rsidRDefault="00BE19BA" w:rsidP="00F73D0E">
      <w:r>
        <w:t xml:space="preserve">If you have had students involved in the program design or decision-making process, it </w:t>
      </w:r>
      <w:r w:rsidR="00F73D0E">
        <w:t>should be highlighted here.</w:t>
      </w:r>
    </w:p>
    <w:p w14:paraId="62BA5EAB" w14:textId="77777777" w:rsidR="00A779FA" w:rsidRDefault="00A779FA"/>
    <w:p w14:paraId="05409BEE" w14:textId="77777777" w:rsidR="002063C3" w:rsidRPr="00E42581" w:rsidRDefault="00E42581" w:rsidP="00E42581">
      <w:pPr>
        <w:pBdr>
          <w:top w:val="single" w:sz="4" w:space="1" w:color="auto"/>
          <w:left w:val="single" w:sz="4" w:space="4" w:color="auto"/>
          <w:bottom w:val="single" w:sz="4" w:space="1" w:color="auto"/>
          <w:right w:val="single" w:sz="4" w:space="4" w:color="auto"/>
        </w:pBdr>
        <w:rPr>
          <w:b/>
          <w:smallCaps/>
        </w:rPr>
      </w:pPr>
      <w:r>
        <w:rPr>
          <w:b/>
          <w:smallCaps/>
        </w:rPr>
        <w:lastRenderedPageBreak/>
        <w:t>T</w:t>
      </w:r>
      <w:r w:rsidRPr="00E42581">
        <w:rPr>
          <w:b/>
          <w:smallCaps/>
        </w:rPr>
        <w:t xml:space="preserve">uition </w:t>
      </w:r>
      <w:r>
        <w:rPr>
          <w:b/>
          <w:smallCaps/>
        </w:rPr>
        <w:t xml:space="preserve">and Fees </w:t>
      </w:r>
      <w:r w:rsidRPr="00E42581">
        <w:rPr>
          <w:b/>
          <w:smallCaps/>
        </w:rPr>
        <w:t>Rationale</w:t>
      </w:r>
    </w:p>
    <w:p w14:paraId="1AAA9F4E" w14:textId="77777777" w:rsidR="00E42581" w:rsidRDefault="00E42581">
      <w:r>
        <w:t xml:space="preserve">This section will highlight the key factors influencing the tuition and mandatory fees for the program. </w:t>
      </w:r>
    </w:p>
    <w:p w14:paraId="1EAE3365" w14:textId="77777777" w:rsidR="00E42581" w:rsidRDefault="00E42581">
      <w:r>
        <w:t>Examples would include (but are not limited to):</w:t>
      </w:r>
    </w:p>
    <w:p w14:paraId="1BF65989" w14:textId="77777777" w:rsidR="00E42581" w:rsidRDefault="00E42581" w:rsidP="00E42581">
      <w:pPr>
        <w:pStyle w:val="ListParagraph"/>
        <w:numPr>
          <w:ilvl w:val="0"/>
          <w:numId w:val="3"/>
        </w:numPr>
      </w:pPr>
      <w:r>
        <w:t>class size</w:t>
      </w:r>
    </w:p>
    <w:p w14:paraId="54D5A290" w14:textId="77777777" w:rsidR="00E42581" w:rsidRDefault="00ED3A2D" w:rsidP="00E42581">
      <w:pPr>
        <w:pStyle w:val="ListParagraph"/>
        <w:numPr>
          <w:ilvl w:val="0"/>
          <w:numId w:val="3"/>
        </w:numPr>
      </w:pPr>
      <w:r>
        <w:t xml:space="preserve">specialized program components (e.g. field trips, practicum, internships, etc.) </w:t>
      </w:r>
    </w:p>
    <w:p w14:paraId="22CA62F1" w14:textId="77777777" w:rsidR="00E42581" w:rsidRDefault="00E42581" w:rsidP="00E42581">
      <w:pPr>
        <w:pStyle w:val="ListParagraph"/>
        <w:numPr>
          <w:ilvl w:val="0"/>
          <w:numId w:val="3"/>
        </w:numPr>
      </w:pPr>
      <w:r>
        <w:t>specialized advisory supports for the program</w:t>
      </w:r>
    </w:p>
    <w:p w14:paraId="494273A5" w14:textId="77777777" w:rsidR="00E42581" w:rsidRDefault="00E42581" w:rsidP="00E42581">
      <w:pPr>
        <w:pStyle w:val="ListParagraph"/>
        <w:numPr>
          <w:ilvl w:val="0"/>
          <w:numId w:val="3"/>
        </w:numPr>
      </w:pPr>
      <w:r>
        <w:t>intensity of student/professor non-classroom interaction (e.g. intensive supervision that requires significant professor)</w:t>
      </w:r>
    </w:p>
    <w:p w14:paraId="155B4E58" w14:textId="77777777" w:rsidR="00E42581" w:rsidRDefault="00E42581" w:rsidP="00E42581">
      <w:pPr>
        <w:pStyle w:val="ListParagraph"/>
        <w:numPr>
          <w:ilvl w:val="0"/>
          <w:numId w:val="3"/>
        </w:numPr>
      </w:pPr>
      <w:r>
        <w:t>technology costs for the program</w:t>
      </w:r>
    </w:p>
    <w:p w14:paraId="6AD951CB" w14:textId="77777777" w:rsidR="00E42581" w:rsidRDefault="00896A6E" w:rsidP="00E42581">
      <w:pPr>
        <w:pStyle w:val="ListParagraph"/>
        <w:numPr>
          <w:ilvl w:val="0"/>
          <w:numId w:val="3"/>
        </w:numPr>
      </w:pPr>
      <w:r>
        <w:t>specialized instructor costs (e.g. needs to be taught by those with specialized knowledge that may cost more due to market demand, seniority, etc.)</w:t>
      </w:r>
    </w:p>
    <w:p w14:paraId="2E23D20E" w14:textId="77777777" w:rsidR="00896A6E" w:rsidRDefault="00896A6E" w:rsidP="00896A6E">
      <w:r w:rsidRPr="00896A6E">
        <w:rPr>
          <w:b/>
        </w:rPr>
        <w:t>Please note:</w:t>
      </w:r>
      <w:r>
        <w:t xml:space="preserve"> This </w:t>
      </w:r>
      <w:r w:rsidR="00F73D0E">
        <w:t xml:space="preserve">should </w:t>
      </w:r>
      <w:r>
        <w:t>give enough information to stu</w:t>
      </w:r>
      <w:r w:rsidR="005D69CB">
        <w:t xml:space="preserve">dents to understand the </w:t>
      </w:r>
      <w:r>
        <w:t>factors leading to the specific tuition and mandatory fees being set for the program.</w:t>
      </w:r>
    </w:p>
    <w:p w14:paraId="2F3E3FEC" w14:textId="77777777" w:rsidR="00E42581" w:rsidRDefault="00E42581"/>
    <w:p w14:paraId="02271C9A" w14:textId="77777777" w:rsidR="00E42581" w:rsidRPr="00896A6E" w:rsidRDefault="00896A6E" w:rsidP="00896A6E">
      <w:pPr>
        <w:ind w:firstLine="720"/>
        <w:rPr>
          <w:b/>
          <w:i/>
        </w:rPr>
      </w:pPr>
      <w:r>
        <w:rPr>
          <w:b/>
          <w:i/>
        </w:rPr>
        <w:t xml:space="preserve">OPTIONAL: </w:t>
      </w:r>
      <w:r>
        <w:rPr>
          <w:b/>
          <w:i/>
        </w:rPr>
        <w:tab/>
        <w:t>Costs of comparable programs</w:t>
      </w:r>
    </w:p>
    <w:p w14:paraId="3180E795" w14:textId="77777777" w:rsidR="00E42581" w:rsidRDefault="00896A6E" w:rsidP="00896A6E">
      <w:pPr>
        <w:ind w:left="2160"/>
      </w:pPr>
      <w:r>
        <w:t>If there are comparable programs, you may want to highlight the costs of those comparable programs to give some context for the tuition</w:t>
      </w:r>
    </w:p>
    <w:p w14:paraId="39411C58" w14:textId="77777777" w:rsidR="00E42581" w:rsidRDefault="00E42581"/>
    <w:p w14:paraId="11E924F4" w14:textId="77777777" w:rsidR="00E42581" w:rsidRPr="00E42581" w:rsidRDefault="00E42581" w:rsidP="00E42581">
      <w:pPr>
        <w:pBdr>
          <w:top w:val="single" w:sz="4" w:space="1" w:color="auto"/>
          <w:left w:val="single" w:sz="4" w:space="4" w:color="auto"/>
          <w:bottom w:val="single" w:sz="4" w:space="1" w:color="auto"/>
          <w:right w:val="single" w:sz="4" w:space="4" w:color="auto"/>
        </w:pBdr>
        <w:rPr>
          <w:b/>
          <w:smallCaps/>
        </w:rPr>
      </w:pPr>
      <w:r w:rsidRPr="00E42581">
        <w:rPr>
          <w:b/>
          <w:smallCaps/>
        </w:rPr>
        <w:t>Proposed Tuition and Fees</w:t>
      </w:r>
    </w:p>
    <w:p w14:paraId="1A1AD143" w14:textId="3DABC1E1" w:rsidR="009929AF" w:rsidRPr="0012170B" w:rsidRDefault="009929AF" w:rsidP="009929AF">
      <w:pPr>
        <w:spacing w:after="120"/>
        <w:jc w:val="both"/>
        <w:rPr>
          <w:b/>
          <w:noProof/>
          <w:sz w:val="28"/>
          <w:lang w:eastAsia="en-CA"/>
        </w:rPr>
      </w:pPr>
      <w:r w:rsidRPr="000241DB">
        <w:rPr>
          <w:b/>
          <w:noProof/>
          <w:sz w:val="28"/>
          <w:lang w:eastAsia="en-CA"/>
        </w:rPr>
        <w:t xml:space="preserve">Appendix </w:t>
      </w:r>
      <w:r>
        <w:rPr>
          <w:b/>
          <w:noProof/>
          <w:sz w:val="28"/>
          <w:lang w:eastAsia="en-CA"/>
        </w:rPr>
        <w:t>1</w:t>
      </w:r>
      <w:r w:rsidRPr="000241DB">
        <w:rPr>
          <w:b/>
          <w:noProof/>
          <w:sz w:val="28"/>
          <w:lang w:eastAsia="en-CA"/>
        </w:rPr>
        <w:t xml:space="preserve"> –</w:t>
      </w:r>
      <w:r>
        <w:rPr>
          <w:b/>
          <w:noProof/>
          <w:sz w:val="28"/>
          <w:lang w:eastAsia="en-CA"/>
        </w:rPr>
        <w:t xml:space="preserve"> </w:t>
      </w:r>
      <w:r w:rsidRPr="000241DB">
        <w:rPr>
          <w:b/>
          <w:noProof/>
          <w:sz w:val="28"/>
          <w:lang w:eastAsia="en-CA"/>
        </w:rPr>
        <w:t>Tuition and Fee Assessment Details</w:t>
      </w:r>
    </w:p>
    <w:p w14:paraId="11DAC438" w14:textId="77777777" w:rsidR="009929AF" w:rsidRPr="003F1AC4" w:rsidRDefault="009929AF" w:rsidP="009929AF">
      <w:pPr>
        <w:spacing w:after="120"/>
        <w:jc w:val="both"/>
        <w:rPr>
          <w:noProof/>
          <w:lang w:eastAsia="en-CA"/>
        </w:rPr>
      </w:pPr>
      <w:r w:rsidRPr="000241DB">
        <w:rPr>
          <w:b/>
          <w:noProof/>
          <w:lang w:eastAsia="en-CA"/>
        </w:rPr>
        <w:t>Program Description</w:t>
      </w:r>
      <w:r>
        <w:rPr>
          <w:noProof/>
          <w:lang w:eastAsia="en-CA"/>
        </w:rPr>
        <w:t xml:space="preserve">: </w:t>
      </w:r>
      <w:r w:rsidRPr="0091586C">
        <w:rPr>
          <w:noProof/>
          <w:highlight w:val="yellow"/>
          <w:lang w:eastAsia="en-CA"/>
        </w:rPr>
        <w:t>Program Name</w:t>
      </w:r>
    </w:p>
    <w:p w14:paraId="10A659C2" w14:textId="77777777" w:rsidR="009929AF" w:rsidRDefault="009929AF" w:rsidP="009929AF">
      <w:pPr>
        <w:spacing w:after="120"/>
        <w:jc w:val="both"/>
        <w:rPr>
          <w:noProof/>
          <w:lang w:eastAsia="en-CA"/>
        </w:rPr>
      </w:pPr>
      <w:r w:rsidRPr="003F1AC4">
        <w:rPr>
          <w:b/>
          <w:noProof/>
          <w:lang w:eastAsia="en-CA"/>
        </w:rPr>
        <w:t>Anticipated Start Date</w:t>
      </w:r>
      <w:r w:rsidRPr="003F1AC4">
        <w:rPr>
          <w:noProof/>
          <w:lang w:eastAsia="en-CA"/>
        </w:rPr>
        <w:t xml:space="preserve">: </w:t>
      </w:r>
      <w:r w:rsidRPr="0091586C">
        <w:rPr>
          <w:noProof/>
          <w:highlight w:val="yellow"/>
          <w:lang w:eastAsia="en-CA"/>
        </w:rPr>
        <w:t>Start Date</w:t>
      </w:r>
    </w:p>
    <w:tbl>
      <w:tblPr>
        <w:tblStyle w:val="TableGrid"/>
        <w:tblW w:w="9720" w:type="dxa"/>
        <w:tblBorders>
          <w:top w:val="none" w:sz="0" w:space="0" w:color="auto"/>
          <w:left w:val="none" w:sz="0" w:space="0" w:color="auto"/>
        </w:tblBorders>
        <w:tblLook w:val="04A0" w:firstRow="1" w:lastRow="0" w:firstColumn="1" w:lastColumn="0" w:noHBand="0" w:noVBand="1"/>
      </w:tblPr>
      <w:tblGrid>
        <w:gridCol w:w="5758"/>
        <w:gridCol w:w="1982"/>
        <w:gridCol w:w="1980"/>
      </w:tblGrid>
      <w:tr w:rsidR="009929AF" w14:paraId="04B62DEE" w14:textId="77777777" w:rsidTr="00DA6C36">
        <w:trPr>
          <w:trHeight w:val="416"/>
        </w:trPr>
        <w:tc>
          <w:tcPr>
            <w:tcW w:w="0" w:type="auto"/>
          </w:tcPr>
          <w:p w14:paraId="58CE30E8" w14:textId="77777777" w:rsidR="009929AF" w:rsidRPr="002C4F82" w:rsidRDefault="009929AF" w:rsidP="00DA6C36">
            <w:pPr>
              <w:spacing w:before="120" w:after="120"/>
              <w:rPr>
                <w:b/>
                <w:noProof/>
                <w:lang w:eastAsia="en-CA"/>
              </w:rPr>
            </w:pPr>
          </w:p>
        </w:tc>
        <w:tc>
          <w:tcPr>
            <w:tcW w:w="1982" w:type="dxa"/>
            <w:shd w:val="clear" w:color="auto" w:fill="0F243E" w:themeFill="text2" w:themeFillShade="80"/>
            <w:vAlign w:val="center"/>
          </w:tcPr>
          <w:p w14:paraId="79370E6B" w14:textId="77777777" w:rsidR="009929AF" w:rsidRPr="002C4F82" w:rsidRDefault="009929AF" w:rsidP="00DA6C36">
            <w:pPr>
              <w:spacing w:before="120" w:after="120"/>
              <w:jc w:val="center"/>
              <w:rPr>
                <w:b/>
                <w:noProof/>
                <w:lang w:eastAsia="en-CA"/>
              </w:rPr>
            </w:pPr>
            <w:r>
              <w:rPr>
                <w:b/>
                <w:noProof/>
                <w:lang w:eastAsia="en-CA"/>
              </w:rPr>
              <w:t>Domestic</w:t>
            </w:r>
          </w:p>
        </w:tc>
        <w:tc>
          <w:tcPr>
            <w:tcW w:w="1980" w:type="dxa"/>
            <w:tcBorders>
              <w:top w:val="single" w:sz="4" w:space="0" w:color="auto"/>
            </w:tcBorders>
            <w:shd w:val="clear" w:color="auto" w:fill="0F243E" w:themeFill="text2" w:themeFillShade="80"/>
            <w:vAlign w:val="center"/>
          </w:tcPr>
          <w:p w14:paraId="50310C6A" w14:textId="77777777" w:rsidR="009929AF" w:rsidRPr="002C4F82" w:rsidRDefault="009929AF" w:rsidP="00DA6C36">
            <w:pPr>
              <w:spacing w:before="120" w:after="120"/>
              <w:jc w:val="center"/>
              <w:rPr>
                <w:b/>
                <w:noProof/>
                <w:lang w:eastAsia="en-CA"/>
              </w:rPr>
            </w:pPr>
            <w:r w:rsidRPr="002C4F82">
              <w:rPr>
                <w:b/>
                <w:noProof/>
                <w:lang w:eastAsia="en-CA"/>
              </w:rPr>
              <w:t>International</w:t>
            </w:r>
          </w:p>
        </w:tc>
      </w:tr>
      <w:tr w:rsidR="009929AF" w:rsidRPr="003F1AC4" w14:paraId="415C48A1" w14:textId="77777777" w:rsidTr="00DA6C36">
        <w:trPr>
          <w:trHeight w:val="392"/>
        </w:trPr>
        <w:tc>
          <w:tcPr>
            <w:tcW w:w="0" w:type="auto"/>
            <w:tcBorders>
              <w:left w:val="single" w:sz="4" w:space="0" w:color="auto"/>
            </w:tcBorders>
          </w:tcPr>
          <w:p w14:paraId="5C0CBAC2" w14:textId="77777777" w:rsidR="009929AF" w:rsidRPr="007145A3" w:rsidRDefault="009929AF" w:rsidP="00DA6C36">
            <w:pPr>
              <w:spacing w:before="120" w:after="120"/>
              <w:rPr>
                <w:noProof/>
                <w:lang w:eastAsia="en-CA"/>
              </w:rPr>
            </w:pPr>
            <w:r w:rsidRPr="007145A3">
              <w:rPr>
                <w:noProof/>
                <w:lang w:eastAsia="en-CA"/>
              </w:rPr>
              <w:t xml:space="preserve">Tuition fees per </w:t>
            </w:r>
            <w:r>
              <w:rPr>
                <w:noProof/>
                <w:lang w:eastAsia="en-CA"/>
              </w:rPr>
              <w:t>instalment</w:t>
            </w:r>
            <w:commentRangeStart w:id="0"/>
            <w:r>
              <w:rPr>
                <w:noProof/>
                <w:lang w:eastAsia="en-CA"/>
              </w:rPr>
              <w:t>/credit</w:t>
            </w:r>
            <w:commentRangeEnd w:id="0"/>
            <w:r>
              <w:rPr>
                <w:rStyle w:val="CommentReference"/>
              </w:rPr>
              <w:commentReference w:id="0"/>
            </w:r>
            <w:r>
              <w:rPr>
                <w:noProof/>
                <w:lang w:eastAsia="en-CA"/>
              </w:rPr>
              <w:t xml:space="preserve"> – No</w:t>
            </w:r>
            <w:r w:rsidRPr="007145A3">
              <w:rPr>
                <w:noProof/>
                <w:lang w:eastAsia="en-CA"/>
              </w:rPr>
              <w:t>te 1</w:t>
            </w:r>
          </w:p>
        </w:tc>
        <w:tc>
          <w:tcPr>
            <w:tcW w:w="1982" w:type="dxa"/>
          </w:tcPr>
          <w:p w14:paraId="6F658043" w14:textId="77777777" w:rsidR="009929AF" w:rsidRPr="003F1AC4" w:rsidRDefault="009929AF" w:rsidP="00DA6C36">
            <w:pPr>
              <w:spacing w:before="120" w:after="120"/>
              <w:jc w:val="right"/>
              <w:rPr>
                <w:noProof/>
                <w:lang w:eastAsia="en-CA"/>
              </w:rPr>
            </w:pPr>
            <w:r w:rsidRPr="003F1AC4">
              <w:t>$</w:t>
            </w:r>
          </w:p>
        </w:tc>
        <w:tc>
          <w:tcPr>
            <w:tcW w:w="1980" w:type="dxa"/>
          </w:tcPr>
          <w:p w14:paraId="23F677BD" w14:textId="77777777" w:rsidR="009929AF" w:rsidRPr="003F1AC4" w:rsidRDefault="009929AF" w:rsidP="00DA6C36">
            <w:pPr>
              <w:spacing w:before="120" w:after="120"/>
              <w:jc w:val="right"/>
              <w:rPr>
                <w:noProof/>
                <w:lang w:eastAsia="en-CA"/>
              </w:rPr>
            </w:pPr>
            <w:r w:rsidRPr="003F1AC4">
              <w:t>$</w:t>
            </w:r>
          </w:p>
        </w:tc>
      </w:tr>
      <w:tr w:rsidR="009929AF" w:rsidRPr="003F1AC4" w14:paraId="2F8EB22C" w14:textId="77777777" w:rsidTr="00DA6C36">
        <w:trPr>
          <w:trHeight w:val="392"/>
        </w:trPr>
        <w:tc>
          <w:tcPr>
            <w:tcW w:w="0" w:type="auto"/>
            <w:tcBorders>
              <w:left w:val="single" w:sz="4" w:space="0" w:color="auto"/>
            </w:tcBorders>
          </w:tcPr>
          <w:p w14:paraId="0C5B2075" w14:textId="77777777" w:rsidR="009929AF" w:rsidRPr="007145A3" w:rsidRDefault="009929AF" w:rsidP="00DA6C36">
            <w:pPr>
              <w:spacing w:before="120" w:after="120"/>
              <w:rPr>
                <w:noProof/>
                <w:lang w:eastAsia="en-CA"/>
              </w:rPr>
            </w:pPr>
            <w:commentRangeStart w:id="1"/>
            <w:r>
              <w:rPr>
                <w:noProof/>
                <w:lang w:eastAsia="en-CA"/>
              </w:rPr>
              <w:t>Minimum No. of Instalments</w:t>
            </w:r>
            <w:commentRangeEnd w:id="1"/>
            <w:r>
              <w:rPr>
                <w:rStyle w:val="CommentReference"/>
              </w:rPr>
              <w:commentReference w:id="1"/>
            </w:r>
          </w:p>
        </w:tc>
        <w:tc>
          <w:tcPr>
            <w:tcW w:w="1982" w:type="dxa"/>
          </w:tcPr>
          <w:p w14:paraId="1EF8E56C" w14:textId="77777777" w:rsidR="009929AF" w:rsidRPr="003F1AC4" w:rsidRDefault="009929AF" w:rsidP="00DA6C36">
            <w:pPr>
              <w:spacing w:before="120" w:after="120"/>
              <w:jc w:val="right"/>
            </w:pPr>
          </w:p>
        </w:tc>
        <w:tc>
          <w:tcPr>
            <w:tcW w:w="1980" w:type="dxa"/>
          </w:tcPr>
          <w:p w14:paraId="4D862D8F" w14:textId="77777777" w:rsidR="009929AF" w:rsidRPr="003F1AC4" w:rsidRDefault="009929AF" w:rsidP="00DA6C36">
            <w:pPr>
              <w:spacing w:before="120" w:after="120"/>
              <w:jc w:val="right"/>
            </w:pPr>
          </w:p>
        </w:tc>
      </w:tr>
      <w:tr w:rsidR="009929AF" w:rsidRPr="003F1AC4" w14:paraId="467A0738" w14:textId="77777777" w:rsidTr="00DA6C36">
        <w:trPr>
          <w:trHeight w:val="392"/>
        </w:trPr>
        <w:tc>
          <w:tcPr>
            <w:tcW w:w="0" w:type="auto"/>
            <w:tcBorders>
              <w:left w:val="single" w:sz="4" w:space="0" w:color="auto"/>
            </w:tcBorders>
          </w:tcPr>
          <w:p w14:paraId="1056190E" w14:textId="77777777" w:rsidR="009929AF" w:rsidRDefault="009929AF" w:rsidP="00DA6C36">
            <w:pPr>
              <w:spacing w:before="120" w:after="120"/>
              <w:rPr>
                <w:noProof/>
                <w:lang w:eastAsia="en-CA"/>
              </w:rPr>
            </w:pPr>
            <w:commentRangeStart w:id="2"/>
            <w:r>
              <w:rPr>
                <w:noProof/>
                <w:lang w:eastAsia="en-CA"/>
              </w:rPr>
              <w:t xml:space="preserve">Continuing Fees per Instalment (assessed after </w:t>
            </w:r>
            <w:r w:rsidRPr="00E6508F">
              <w:rPr>
                <w:noProof/>
                <w:highlight w:val="yellow"/>
                <w:lang w:eastAsia="en-CA"/>
              </w:rPr>
              <w:t>x</w:t>
            </w:r>
            <w:r>
              <w:rPr>
                <w:noProof/>
                <w:lang w:eastAsia="en-CA"/>
              </w:rPr>
              <w:t xml:space="preserve"> instalments)</w:t>
            </w:r>
            <w:commentRangeEnd w:id="2"/>
            <w:r>
              <w:rPr>
                <w:rStyle w:val="CommentReference"/>
              </w:rPr>
              <w:commentReference w:id="2"/>
            </w:r>
          </w:p>
        </w:tc>
        <w:tc>
          <w:tcPr>
            <w:tcW w:w="1982" w:type="dxa"/>
          </w:tcPr>
          <w:p w14:paraId="520BE41C" w14:textId="77777777" w:rsidR="009929AF" w:rsidRPr="003F1AC4" w:rsidRDefault="009929AF" w:rsidP="00DA6C36">
            <w:pPr>
              <w:spacing w:before="120" w:after="120"/>
              <w:jc w:val="right"/>
            </w:pPr>
          </w:p>
        </w:tc>
        <w:tc>
          <w:tcPr>
            <w:tcW w:w="1980" w:type="dxa"/>
          </w:tcPr>
          <w:p w14:paraId="2D3ADE97" w14:textId="77777777" w:rsidR="009929AF" w:rsidRPr="003F1AC4" w:rsidRDefault="009929AF" w:rsidP="00DA6C36">
            <w:pPr>
              <w:spacing w:before="120" w:after="120"/>
              <w:jc w:val="right"/>
            </w:pPr>
          </w:p>
        </w:tc>
      </w:tr>
      <w:tr w:rsidR="009929AF" w:rsidRPr="003F1AC4" w14:paraId="1ED29490" w14:textId="77777777" w:rsidTr="00DA6C36">
        <w:trPr>
          <w:trHeight w:val="392"/>
        </w:trPr>
        <w:tc>
          <w:tcPr>
            <w:tcW w:w="0" w:type="auto"/>
            <w:tcBorders>
              <w:left w:val="single" w:sz="4" w:space="0" w:color="auto"/>
            </w:tcBorders>
          </w:tcPr>
          <w:p w14:paraId="5273CA4E" w14:textId="77777777" w:rsidR="009929AF" w:rsidRPr="007145A3" w:rsidRDefault="009929AF" w:rsidP="00DA6C36">
            <w:pPr>
              <w:spacing w:before="120" w:after="120"/>
              <w:rPr>
                <w:noProof/>
                <w:lang w:eastAsia="en-CA"/>
              </w:rPr>
            </w:pPr>
            <w:commentRangeStart w:id="3"/>
            <w:r>
              <w:rPr>
                <w:noProof/>
                <w:lang w:eastAsia="en-CA"/>
              </w:rPr>
              <w:t>Application Fees (Undergraduate) – Note 2</w:t>
            </w:r>
          </w:p>
        </w:tc>
        <w:tc>
          <w:tcPr>
            <w:tcW w:w="1982" w:type="dxa"/>
          </w:tcPr>
          <w:p w14:paraId="3F24FFCE" w14:textId="77777777" w:rsidR="009929AF" w:rsidRPr="003F1AC4" w:rsidRDefault="009929AF" w:rsidP="00DA6C36">
            <w:pPr>
              <w:spacing w:before="120" w:after="120"/>
              <w:jc w:val="right"/>
              <w:rPr>
                <w:noProof/>
                <w:lang w:eastAsia="en-CA"/>
              </w:rPr>
            </w:pPr>
            <w:r w:rsidRPr="003F1AC4">
              <w:rPr>
                <w:noProof/>
                <w:lang w:eastAsia="en-CA"/>
              </w:rPr>
              <w:t>$</w:t>
            </w:r>
            <w:r>
              <w:rPr>
                <w:noProof/>
                <w:lang w:eastAsia="en-CA"/>
              </w:rPr>
              <w:t>77.00</w:t>
            </w:r>
          </w:p>
        </w:tc>
        <w:tc>
          <w:tcPr>
            <w:tcW w:w="1980" w:type="dxa"/>
          </w:tcPr>
          <w:p w14:paraId="09766A24" w14:textId="77777777" w:rsidR="009929AF" w:rsidRPr="003F1AC4" w:rsidRDefault="009929AF" w:rsidP="00DA6C36">
            <w:pPr>
              <w:spacing w:before="120" w:after="120"/>
              <w:jc w:val="right"/>
              <w:rPr>
                <w:noProof/>
                <w:lang w:eastAsia="en-CA"/>
              </w:rPr>
            </w:pPr>
            <w:r w:rsidRPr="003F1AC4">
              <w:rPr>
                <w:noProof/>
                <w:lang w:eastAsia="en-CA"/>
              </w:rPr>
              <w:t>$</w:t>
            </w:r>
            <w:r>
              <w:rPr>
                <w:noProof/>
                <w:lang w:eastAsia="en-CA"/>
              </w:rPr>
              <w:t>170</w:t>
            </w:r>
            <w:r>
              <w:rPr>
                <w:noProof/>
                <w:lang w:eastAsia="zh-CN"/>
              </w:rPr>
              <w:t>.00</w:t>
            </w:r>
          </w:p>
        </w:tc>
      </w:tr>
      <w:tr w:rsidR="009929AF" w:rsidRPr="003F1AC4" w14:paraId="5CF0511B" w14:textId="77777777" w:rsidTr="00DA6C36">
        <w:trPr>
          <w:trHeight w:val="392"/>
        </w:trPr>
        <w:tc>
          <w:tcPr>
            <w:tcW w:w="0" w:type="auto"/>
            <w:tcBorders>
              <w:left w:val="single" w:sz="4" w:space="0" w:color="auto"/>
            </w:tcBorders>
          </w:tcPr>
          <w:p w14:paraId="0F9A159B" w14:textId="77777777" w:rsidR="009929AF" w:rsidRPr="007145A3" w:rsidRDefault="009929AF" w:rsidP="00DA6C36">
            <w:pPr>
              <w:spacing w:before="120" w:after="120"/>
              <w:rPr>
                <w:noProof/>
                <w:lang w:eastAsia="en-CA"/>
              </w:rPr>
            </w:pPr>
            <w:r>
              <w:rPr>
                <w:noProof/>
                <w:lang w:eastAsia="en-CA"/>
              </w:rPr>
              <w:t>Application Fees (Graduate) – Note 2</w:t>
            </w:r>
          </w:p>
        </w:tc>
        <w:tc>
          <w:tcPr>
            <w:tcW w:w="1982" w:type="dxa"/>
          </w:tcPr>
          <w:p w14:paraId="253BA51D" w14:textId="77777777" w:rsidR="009929AF" w:rsidRPr="003F1AC4" w:rsidRDefault="009929AF" w:rsidP="00DA6C36">
            <w:pPr>
              <w:spacing w:before="120" w:after="120"/>
              <w:jc w:val="right"/>
              <w:rPr>
                <w:noProof/>
                <w:lang w:eastAsia="en-CA"/>
              </w:rPr>
            </w:pPr>
            <w:r w:rsidRPr="003F1AC4">
              <w:rPr>
                <w:noProof/>
                <w:lang w:eastAsia="en-CA"/>
              </w:rPr>
              <w:t>$</w:t>
            </w:r>
            <w:r>
              <w:rPr>
                <w:noProof/>
                <w:lang w:eastAsia="en-CA"/>
              </w:rPr>
              <w:t>116.25</w:t>
            </w:r>
          </w:p>
        </w:tc>
        <w:tc>
          <w:tcPr>
            <w:tcW w:w="1980" w:type="dxa"/>
          </w:tcPr>
          <w:p w14:paraId="7C3A2026" w14:textId="77777777" w:rsidR="009929AF" w:rsidRPr="003F1AC4" w:rsidRDefault="009929AF" w:rsidP="00DA6C36">
            <w:pPr>
              <w:spacing w:before="120" w:after="120"/>
              <w:jc w:val="right"/>
              <w:rPr>
                <w:noProof/>
                <w:lang w:eastAsia="en-CA"/>
              </w:rPr>
            </w:pPr>
            <w:r w:rsidRPr="003F1AC4">
              <w:rPr>
                <w:noProof/>
                <w:lang w:eastAsia="en-CA"/>
              </w:rPr>
              <w:t>$</w:t>
            </w:r>
            <w:r>
              <w:rPr>
                <w:noProof/>
                <w:lang w:eastAsia="en-CA"/>
              </w:rPr>
              <w:t>168.25</w:t>
            </w:r>
            <w:commentRangeEnd w:id="3"/>
            <w:r>
              <w:rPr>
                <w:rStyle w:val="CommentReference"/>
              </w:rPr>
              <w:commentReference w:id="3"/>
            </w:r>
          </w:p>
        </w:tc>
      </w:tr>
      <w:tr w:rsidR="009929AF" w:rsidRPr="003F1AC4" w14:paraId="5688481B" w14:textId="77777777" w:rsidTr="00DA6C36">
        <w:trPr>
          <w:trHeight w:val="380"/>
        </w:trPr>
        <w:tc>
          <w:tcPr>
            <w:tcW w:w="0" w:type="auto"/>
            <w:tcBorders>
              <w:left w:val="single" w:sz="4" w:space="0" w:color="auto"/>
            </w:tcBorders>
          </w:tcPr>
          <w:p w14:paraId="0A646A07" w14:textId="77777777" w:rsidR="009929AF" w:rsidRPr="007145A3" w:rsidRDefault="009929AF" w:rsidP="00DA6C36">
            <w:pPr>
              <w:spacing w:before="120" w:after="120"/>
              <w:rPr>
                <w:noProof/>
                <w:lang w:eastAsia="en-CA"/>
              </w:rPr>
            </w:pPr>
            <w:r w:rsidRPr="007145A3">
              <w:rPr>
                <w:noProof/>
                <w:lang w:eastAsia="en-CA"/>
              </w:rPr>
              <w:lastRenderedPageBreak/>
              <w:t>Supplemental Application Fees</w:t>
            </w:r>
          </w:p>
        </w:tc>
        <w:tc>
          <w:tcPr>
            <w:tcW w:w="1982" w:type="dxa"/>
          </w:tcPr>
          <w:p w14:paraId="494453A0" w14:textId="77777777" w:rsidR="009929AF" w:rsidRPr="003F1AC4" w:rsidRDefault="009929AF" w:rsidP="00DA6C36">
            <w:pPr>
              <w:spacing w:before="120" w:after="120"/>
              <w:jc w:val="right"/>
              <w:rPr>
                <w:noProof/>
                <w:lang w:eastAsia="en-CA"/>
              </w:rPr>
            </w:pPr>
            <w:r>
              <w:rPr>
                <w:noProof/>
                <w:lang w:eastAsia="en-CA"/>
              </w:rPr>
              <w:t>$</w:t>
            </w:r>
          </w:p>
        </w:tc>
        <w:tc>
          <w:tcPr>
            <w:tcW w:w="1980" w:type="dxa"/>
          </w:tcPr>
          <w:p w14:paraId="5D490D18" w14:textId="77777777" w:rsidR="009929AF" w:rsidRPr="003F1AC4" w:rsidRDefault="009929AF" w:rsidP="00DA6C36">
            <w:pPr>
              <w:spacing w:before="120" w:after="120"/>
              <w:jc w:val="right"/>
              <w:rPr>
                <w:noProof/>
                <w:lang w:eastAsia="en-CA"/>
              </w:rPr>
            </w:pPr>
            <w:r>
              <w:rPr>
                <w:noProof/>
                <w:lang w:eastAsia="en-CA"/>
              </w:rPr>
              <w:t>$</w:t>
            </w:r>
          </w:p>
        </w:tc>
      </w:tr>
      <w:tr w:rsidR="009929AF" w:rsidRPr="003F1AC4" w14:paraId="0DC6EF09" w14:textId="77777777" w:rsidTr="00DA6C36">
        <w:trPr>
          <w:trHeight w:val="380"/>
        </w:trPr>
        <w:tc>
          <w:tcPr>
            <w:tcW w:w="0" w:type="auto"/>
            <w:tcBorders>
              <w:left w:val="single" w:sz="4" w:space="0" w:color="auto"/>
            </w:tcBorders>
          </w:tcPr>
          <w:p w14:paraId="45430D59" w14:textId="77777777" w:rsidR="009929AF" w:rsidRPr="007145A3" w:rsidRDefault="009929AF" w:rsidP="00DA6C36">
            <w:pPr>
              <w:spacing w:before="120" w:after="120"/>
              <w:rPr>
                <w:noProof/>
                <w:lang w:eastAsia="en-CA"/>
              </w:rPr>
            </w:pPr>
            <w:commentRangeStart w:id="4"/>
            <w:r w:rsidRPr="007145A3">
              <w:rPr>
                <w:noProof/>
                <w:lang w:eastAsia="en-CA"/>
              </w:rPr>
              <w:t xml:space="preserve">Non-Refundable Acceptance Deposit </w:t>
            </w:r>
            <w:r>
              <w:rPr>
                <w:noProof/>
                <w:lang w:eastAsia="en-CA"/>
              </w:rPr>
              <w:t>– Note 3</w:t>
            </w:r>
          </w:p>
        </w:tc>
        <w:tc>
          <w:tcPr>
            <w:tcW w:w="1982" w:type="dxa"/>
          </w:tcPr>
          <w:p w14:paraId="3863EB7F" w14:textId="77777777" w:rsidR="009929AF" w:rsidRPr="003F1AC4" w:rsidRDefault="009929AF" w:rsidP="00DA6C36">
            <w:pPr>
              <w:spacing w:before="120" w:after="120"/>
              <w:jc w:val="right"/>
              <w:rPr>
                <w:noProof/>
                <w:lang w:eastAsia="en-CA"/>
              </w:rPr>
            </w:pPr>
            <w:r w:rsidRPr="003F1AC4">
              <w:rPr>
                <w:noProof/>
                <w:lang w:eastAsia="en-CA"/>
              </w:rPr>
              <w:t>$</w:t>
            </w:r>
            <w:r>
              <w:rPr>
                <w:noProof/>
                <w:lang w:eastAsia="en-CA"/>
              </w:rPr>
              <w:t>500.00</w:t>
            </w:r>
          </w:p>
        </w:tc>
        <w:tc>
          <w:tcPr>
            <w:tcW w:w="1980" w:type="dxa"/>
          </w:tcPr>
          <w:p w14:paraId="6C4E2AA5" w14:textId="77777777" w:rsidR="009929AF" w:rsidRPr="003F1AC4" w:rsidRDefault="009929AF" w:rsidP="00DA6C36">
            <w:pPr>
              <w:spacing w:before="120" w:after="120"/>
              <w:jc w:val="right"/>
              <w:rPr>
                <w:noProof/>
                <w:lang w:eastAsia="en-CA"/>
              </w:rPr>
            </w:pPr>
            <w:r w:rsidRPr="003F1AC4">
              <w:rPr>
                <w:noProof/>
                <w:lang w:eastAsia="en-CA"/>
              </w:rPr>
              <w:t>$</w:t>
            </w:r>
            <w:r>
              <w:rPr>
                <w:noProof/>
                <w:lang w:eastAsia="en-CA"/>
              </w:rPr>
              <w:t>1,000.00</w:t>
            </w:r>
            <w:commentRangeEnd w:id="4"/>
            <w:r>
              <w:rPr>
                <w:rStyle w:val="CommentReference"/>
              </w:rPr>
              <w:commentReference w:id="4"/>
            </w:r>
          </w:p>
        </w:tc>
      </w:tr>
      <w:tr w:rsidR="009929AF" w:rsidRPr="003F1AC4" w14:paraId="7667D254" w14:textId="77777777" w:rsidTr="00DA6C36">
        <w:trPr>
          <w:trHeight w:val="392"/>
        </w:trPr>
        <w:tc>
          <w:tcPr>
            <w:tcW w:w="0" w:type="auto"/>
            <w:tcBorders>
              <w:left w:val="single" w:sz="4" w:space="0" w:color="auto"/>
            </w:tcBorders>
          </w:tcPr>
          <w:p w14:paraId="23CCDFBF" w14:textId="77777777" w:rsidR="009929AF" w:rsidRPr="007145A3" w:rsidRDefault="009929AF" w:rsidP="00DA6C36">
            <w:pPr>
              <w:spacing w:before="120" w:after="120"/>
              <w:rPr>
                <w:noProof/>
                <w:lang w:eastAsia="en-CA"/>
              </w:rPr>
            </w:pPr>
            <w:r>
              <w:rPr>
                <w:noProof/>
                <w:lang w:eastAsia="en-CA"/>
              </w:rPr>
              <w:t>Other Faculty and Course Fees – Note 4</w:t>
            </w:r>
          </w:p>
        </w:tc>
        <w:tc>
          <w:tcPr>
            <w:tcW w:w="1982" w:type="dxa"/>
          </w:tcPr>
          <w:p w14:paraId="05B07410" w14:textId="77777777" w:rsidR="009929AF" w:rsidRPr="003F1AC4" w:rsidRDefault="009929AF" w:rsidP="00DA6C36">
            <w:pPr>
              <w:spacing w:before="120" w:after="120"/>
              <w:jc w:val="right"/>
              <w:rPr>
                <w:noProof/>
                <w:lang w:eastAsia="en-CA"/>
              </w:rPr>
            </w:pPr>
            <w:r>
              <w:rPr>
                <w:noProof/>
                <w:lang w:eastAsia="en-CA"/>
              </w:rPr>
              <w:t>$</w:t>
            </w:r>
          </w:p>
        </w:tc>
        <w:tc>
          <w:tcPr>
            <w:tcW w:w="1980" w:type="dxa"/>
          </w:tcPr>
          <w:p w14:paraId="5D613CD6" w14:textId="77777777" w:rsidR="009929AF" w:rsidRPr="003F1AC4" w:rsidRDefault="009929AF" w:rsidP="00DA6C36">
            <w:pPr>
              <w:spacing w:before="120" w:after="120"/>
              <w:jc w:val="right"/>
              <w:rPr>
                <w:noProof/>
                <w:lang w:eastAsia="en-CA"/>
              </w:rPr>
            </w:pPr>
            <w:r>
              <w:rPr>
                <w:noProof/>
                <w:lang w:eastAsia="en-CA"/>
              </w:rPr>
              <w:t>$</w:t>
            </w:r>
          </w:p>
        </w:tc>
      </w:tr>
    </w:tbl>
    <w:p w14:paraId="07FCD2A3" w14:textId="77777777" w:rsidR="009929AF" w:rsidRDefault="009929AF" w:rsidP="009929AF">
      <w:pPr>
        <w:spacing w:after="120"/>
        <w:jc w:val="both"/>
        <w:rPr>
          <w:noProof/>
          <w:lang w:eastAsia="en-CA"/>
        </w:rPr>
      </w:pPr>
    </w:p>
    <w:p w14:paraId="09295CE8" w14:textId="77777777" w:rsidR="009929AF" w:rsidRPr="007145A3" w:rsidRDefault="009929AF" w:rsidP="009929AF">
      <w:pPr>
        <w:widowControl w:val="0"/>
        <w:autoSpaceDE w:val="0"/>
        <w:autoSpaceDN w:val="0"/>
        <w:adjustRightInd w:val="0"/>
        <w:spacing w:after="120"/>
        <w:rPr>
          <w:lang w:val="en-US"/>
        </w:rPr>
      </w:pPr>
      <w:r w:rsidRPr="007145A3">
        <w:rPr>
          <w:lang w:val="en-US"/>
        </w:rPr>
        <w:t>Note 1 –</w:t>
      </w:r>
      <w:r>
        <w:rPr>
          <w:lang w:val="en-US"/>
        </w:rPr>
        <w:t xml:space="preserve"> Proposed tuition will be </w:t>
      </w:r>
      <w:r w:rsidRPr="007145A3">
        <w:rPr>
          <w:lang w:val="en-US"/>
        </w:rPr>
        <w:t>subject to annual increases</w:t>
      </w:r>
      <w:r>
        <w:rPr>
          <w:lang w:val="en-US"/>
        </w:rPr>
        <w:t xml:space="preserve"> as established by the university. </w:t>
      </w:r>
      <w:commentRangeStart w:id="5"/>
      <w:r>
        <w:rPr>
          <w:lang w:val="en-US"/>
        </w:rPr>
        <w:t xml:space="preserve">Tuition and student fees are charged in three equal instalments payable in January, </w:t>
      </w:r>
      <w:proofErr w:type="gramStart"/>
      <w:r>
        <w:rPr>
          <w:lang w:val="en-US"/>
        </w:rPr>
        <w:t>May</w:t>
      </w:r>
      <w:proofErr w:type="gramEnd"/>
      <w:r>
        <w:rPr>
          <w:lang w:val="en-US"/>
        </w:rPr>
        <w:t xml:space="preserve"> and September.</w:t>
      </w:r>
      <w:commentRangeEnd w:id="5"/>
      <w:r>
        <w:rPr>
          <w:rStyle w:val="CommentReference"/>
        </w:rPr>
        <w:commentReference w:id="5"/>
      </w:r>
    </w:p>
    <w:p w14:paraId="12DDF1C6" w14:textId="77777777" w:rsidR="009929AF" w:rsidRDefault="009929AF" w:rsidP="009929AF">
      <w:pPr>
        <w:widowControl w:val="0"/>
        <w:autoSpaceDE w:val="0"/>
        <w:autoSpaceDN w:val="0"/>
        <w:adjustRightInd w:val="0"/>
        <w:spacing w:after="120"/>
        <w:rPr>
          <w:rFonts w:eastAsia="Times New Roman" w:cs="Times New Roman"/>
        </w:rPr>
      </w:pPr>
      <w:r>
        <w:rPr>
          <w:rFonts w:eastAsia="Times New Roman" w:cs="Times New Roman"/>
        </w:rPr>
        <w:t>Note 2</w:t>
      </w:r>
      <w:r w:rsidRPr="007145A3">
        <w:rPr>
          <w:rFonts w:eastAsia="Times New Roman" w:cs="Times New Roman"/>
        </w:rPr>
        <w:t xml:space="preserve"> – This is the cu</w:t>
      </w:r>
      <w:r>
        <w:rPr>
          <w:rFonts w:eastAsia="Times New Roman" w:cs="Times New Roman"/>
        </w:rPr>
        <w:t xml:space="preserve">rrent fee for the </w:t>
      </w:r>
      <w:r w:rsidRPr="0091586C">
        <w:rPr>
          <w:rFonts w:eastAsia="Times New Roman" w:cs="Times New Roman"/>
          <w:highlight w:val="yellow"/>
        </w:rPr>
        <w:t>20</w:t>
      </w:r>
      <w:r>
        <w:rPr>
          <w:rFonts w:eastAsia="Times New Roman" w:cs="Times New Roman"/>
          <w:highlight w:val="yellow"/>
        </w:rPr>
        <w:t>25</w:t>
      </w:r>
      <w:r w:rsidRPr="0091586C">
        <w:rPr>
          <w:rFonts w:eastAsia="Times New Roman" w:cs="Times New Roman"/>
          <w:highlight w:val="yellow"/>
        </w:rPr>
        <w:t>W</w:t>
      </w:r>
      <w:r w:rsidRPr="007145A3">
        <w:rPr>
          <w:rFonts w:eastAsia="Times New Roman" w:cs="Times New Roman"/>
        </w:rPr>
        <w:t xml:space="preserve"> application cycle and is subject to annual increases. </w:t>
      </w:r>
    </w:p>
    <w:p w14:paraId="6790E2F6" w14:textId="77777777" w:rsidR="009929AF" w:rsidRDefault="009929AF" w:rsidP="009929AF">
      <w:pPr>
        <w:widowControl w:val="0"/>
        <w:autoSpaceDE w:val="0"/>
        <w:autoSpaceDN w:val="0"/>
        <w:adjustRightInd w:val="0"/>
        <w:spacing w:after="120"/>
        <w:rPr>
          <w:rFonts w:eastAsia="Times New Roman" w:cs="Times New Roman"/>
        </w:rPr>
      </w:pPr>
      <w:r>
        <w:rPr>
          <w:rFonts w:eastAsia="Times New Roman" w:cs="Times New Roman"/>
        </w:rPr>
        <w:t>Note 3 – The non-refundable acceptance deposit will be applied towards the first tuition instalment.</w:t>
      </w:r>
    </w:p>
    <w:p w14:paraId="3C5FF3C0" w14:textId="77777777" w:rsidR="009929AF" w:rsidRPr="007145A3" w:rsidRDefault="009929AF" w:rsidP="009929AF">
      <w:pPr>
        <w:widowControl w:val="0"/>
        <w:autoSpaceDE w:val="0"/>
        <w:autoSpaceDN w:val="0"/>
        <w:adjustRightInd w:val="0"/>
        <w:spacing w:after="120"/>
        <w:rPr>
          <w:lang w:val="en-US"/>
        </w:rPr>
      </w:pPr>
      <w:r>
        <w:rPr>
          <w:rFonts w:eastAsia="Times New Roman" w:cs="Times New Roman"/>
        </w:rPr>
        <w:t xml:space="preserve">Note 4 – These are the Faculty and Course Fees approved for the </w:t>
      </w:r>
      <w:r w:rsidRPr="00576CCC">
        <w:rPr>
          <w:rFonts w:eastAsia="Times New Roman" w:cs="Times New Roman"/>
          <w:highlight w:val="yellow"/>
        </w:rPr>
        <w:t>202</w:t>
      </w:r>
      <w:r>
        <w:rPr>
          <w:rFonts w:eastAsia="Times New Roman" w:cs="Times New Roman"/>
          <w:highlight w:val="yellow"/>
        </w:rPr>
        <w:t>4</w:t>
      </w:r>
      <w:r w:rsidRPr="00576CCC">
        <w:rPr>
          <w:rFonts w:eastAsia="Times New Roman" w:cs="Times New Roman"/>
          <w:highlight w:val="yellow"/>
        </w:rPr>
        <w:t>/2</w:t>
      </w:r>
      <w:r w:rsidRPr="00A031AF">
        <w:rPr>
          <w:rFonts w:eastAsia="Times New Roman" w:cs="Times New Roman"/>
          <w:highlight w:val="yellow"/>
        </w:rPr>
        <w:t>5</w:t>
      </w:r>
      <w:r>
        <w:rPr>
          <w:rFonts w:eastAsia="Times New Roman" w:cs="Times New Roman"/>
        </w:rPr>
        <w:t xml:space="preserve"> academic year and are subject to annual increases.</w:t>
      </w:r>
    </w:p>
    <w:p w14:paraId="48F3B03C" w14:textId="77777777" w:rsidR="001D0BA5" w:rsidRDefault="001D0BA5" w:rsidP="001D0BA5"/>
    <w:p w14:paraId="4A623BAB" w14:textId="77777777" w:rsidR="00F73D0E" w:rsidRDefault="00F73D0E"/>
    <w:sectPr w:rsidR="00F73D0E">
      <w:foot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mond, Cicy" w:date="2018-02-15T14:30:00Z" w:initials="GC">
    <w:p w14:paraId="4816D44E" w14:textId="77777777" w:rsidR="009929AF" w:rsidRDefault="009929AF" w:rsidP="009929AF">
      <w:pPr>
        <w:pStyle w:val="CommentText"/>
      </w:pPr>
      <w:r>
        <w:rPr>
          <w:rStyle w:val="CommentReference"/>
        </w:rPr>
        <w:annotationRef/>
      </w:r>
      <w:r>
        <w:t>Pick either per instalment or per credit.</w:t>
      </w:r>
    </w:p>
  </w:comment>
  <w:comment w:id="1" w:author="Guimond, Cicy" w:date="2018-02-15T14:31:00Z" w:initials="GC">
    <w:p w14:paraId="2EDBA016" w14:textId="77777777" w:rsidR="009929AF" w:rsidRDefault="009929AF" w:rsidP="009929AF">
      <w:pPr>
        <w:pStyle w:val="CommentText"/>
      </w:pPr>
      <w:r>
        <w:rPr>
          <w:rStyle w:val="CommentReference"/>
        </w:rPr>
        <w:annotationRef/>
      </w:r>
      <w:r>
        <w:t>If tuition is per instalment, fill out this line. If tuition is per credit, delete this line.</w:t>
      </w:r>
    </w:p>
  </w:comment>
  <w:comment w:id="2" w:author="Guimond, Cicy" w:date="2018-02-15T14:33:00Z" w:initials="GC">
    <w:p w14:paraId="3A99271C" w14:textId="77777777" w:rsidR="009929AF" w:rsidRDefault="009929AF" w:rsidP="009929AF">
      <w:pPr>
        <w:pStyle w:val="CommentText"/>
      </w:pPr>
      <w:r>
        <w:rPr>
          <w:rStyle w:val="CommentReference"/>
        </w:rPr>
        <w:annotationRef/>
      </w:r>
      <w:r>
        <w:t>Only applicable if tuition is per instalment, “x” instalments typically should match minimum no. of instalments. An exception is for standard master’s programs which would have 3 minimum instalments but continuing fees are assessed after 6 instalments. Another exception is for standard doctoral programs which would have 6 minimum instalments but continuing fees are assessed after 9 instalments.</w:t>
      </w:r>
    </w:p>
  </w:comment>
  <w:comment w:id="3" w:author="Guimond, Cicy" w:date="2018-03-14T14:02:00Z" w:initials="GC">
    <w:p w14:paraId="207E4314" w14:textId="77777777" w:rsidR="009929AF" w:rsidRDefault="009929AF" w:rsidP="009929AF">
      <w:pPr>
        <w:pStyle w:val="CommentText"/>
      </w:pPr>
      <w:r>
        <w:rPr>
          <w:rStyle w:val="CommentReference"/>
        </w:rPr>
        <w:annotationRef/>
      </w:r>
      <w:r>
        <w:t>Keep one application fees line only.</w:t>
      </w:r>
    </w:p>
  </w:comment>
  <w:comment w:id="4" w:author="Guimond, Cicy" w:date="2018-03-14T14:03:00Z" w:initials="GC">
    <w:p w14:paraId="26E00AF1" w14:textId="77777777" w:rsidR="009929AF" w:rsidRDefault="009929AF" w:rsidP="009929AF">
      <w:pPr>
        <w:pStyle w:val="CommentText"/>
      </w:pPr>
      <w:r>
        <w:rPr>
          <w:rStyle w:val="CommentReference"/>
        </w:rPr>
        <w:annotationRef/>
      </w:r>
      <w:r>
        <w:t>This applies for undergraduate programs only. N/A for graduate programs, or advise SFS if otherwise.</w:t>
      </w:r>
    </w:p>
  </w:comment>
  <w:comment w:id="5" w:author="Guimond, Cicy" w:date="2018-02-15T14:34:00Z" w:initials="GC">
    <w:p w14:paraId="7C108D9F" w14:textId="77777777" w:rsidR="009929AF" w:rsidRDefault="009929AF" w:rsidP="009929AF">
      <w:pPr>
        <w:pStyle w:val="CommentText"/>
      </w:pPr>
      <w:r>
        <w:rPr>
          <w:rStyle w:val="CommentReference"/>
        </w:rPr>
        <w:annotationRef/>
      </w:r>
      <w:r>
        <w:t>Only applicable if tuition is per instalment.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16D44E" w15:done="0"/>
  <w15:commentEx w15:paraId="2EDBA016" w15:done="0"/>
  <w15:commentEx w15:paraId="3A99271C" w15:done="0"/>
  <w15:commentEx w15:paraId="207E4314" w15:done="0"/>
  <w15:commentEx w15:paraId="26E00AF1" w15:done="0"/>
  <w15:commentEx w15:paraId="7C108D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9C8787" w16cex:dateUtc="2018-02-15T22:30:00Z"/>
  <w16cex:commentExtensible w16cex:durableId="219C8788" w16cex:dateUtc="2018-02-15T22:31:00Z"/>
  <w16cex:commentExtensible w16cex:durableId="219C8789" w16cex:dateUtc="2018-02-15T22:33:00Z"/>
  <w16cex:commentExtensible w16cex:durableId="219C878A" w16cex:dateUtc="2018-03-14T21:02:00Z"/>
  <w16cex:commentExtensible w16cex:durableId="219C878B" w16cex:dateUtc="2018-03-14T21:03:00Z"/>
  <w16cex:commentExtensible w16cex:durableId="219C878C" w16cex:dateUtc="2018-02-15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16D44E" w16cid:durableId="219C8787"/>
  <w16cid:commentId w16cid:paraId="2EDBA016" w16cid:durableId="219C8788"/>
  <w16cid:commentId w16cid:paraId="3A99271C" w16cid:durableId="219C8789"/>
  <w16cid:commentId w16cid:paraId="207E4314" w16cid:durableId="219C878A"/>
  <w16cid:commentId w16cid:paraId="26E00AF1" w16cid:durableId="219C878B"/>
  <w16cid:commentId w16cid:paraId="7C108D9F" w16cid:durableId="219C87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6975" w14:textId="77777777" w:rsidR="002731BD" w:rsidRDefault="002731BD" w:rsidP="009402D9">
      <w:pPr>
        <w:spacing w:after="0" w:line="240" w:lineRule="auto"/>
      </w:pPr>
      <w:r>
        <w:separator/>
      </w:r>
    </w:p>
  </w:endnote>
  <w:endnote w:type="continuationSeparator" w:id="0">
    <w:p w14:paraId="21288F3B" w14:textId="77777777" w:rsidR="002731BD" w:rsidRDefault="002731BD" w:rsidP="0094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4B40" w14:textId="57551299" w:rsidR="009402D9" w:rsidRPr="009402D9" w:rsidRDefault="009402D9">
    <w:pPr>
      <w:pStyle w:val="Footer"/>
      <w:rPr>
        <w:sz w:val="18"/>
        <w:szCs w:val="18"/>
      </w:rPr>
    </w:pPr>
    <w:r w:rsidRPr="009402D9">
      <w:rPr>
        <w:sz w:val="18"/>
        <w:szCs w:val="18"/>
      </w:rPr>
      <w:t>Last updated March 2024</w:t>
    </w:r>
  </w:p>
  <w:p w14:paraId="247A7356" w14:textId="77777777" w:rsidR="009402D9" w:rsidRDefault="00940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9123" w14:textId="77777777" w:rsidR="002731BD" w:rsidRDefault="002731BD" w:rsidP="009402D9">
      <w:pPr>
        <w:spacing w:after="0" w:line="240" w:lineRule="auto"/>
      </w:pPr>
      <w:r>
        <w:separator/>
      </w:r>
    </w:p>
  </w:footnote>
  <w:footnote w:type="continuationSeparator" w:id="0">
    <w:p w14:paraId="153DAA51" w14:textId="77777777" w:rsidR="002731BD" w:rsidRDefault="002731BD" w:rsidP="00940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F493C"/>
    <w:multiLevelType w:val="hybridMultilevel"/>
    <w:tmpl w:val="7632D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FD41DCB"/>
    <w:multiLevelType w:val="hybridMultilevel"/>
    <w:tmpl w:val="7008445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 w15:restartNumberingAfterBreak="0">
    <w:nsid w:val="7BF23592"/>
    <w:multiLevelType w:val="hybridMultilevel"/>
    <w:tmpl w:val="D66A56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0455819">
    <w:abstractNumId w:val="2"/>
  </w:num>
  <w:num w:numId="2" w16cid:durableId="958561239">
    <w:abstractNumId w:val="1"/>
  </w:num>
  <w:num w:numId="3" w16cid:durableId="16815391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mond, Cicy">
    <w15:presenceInfo w15:providerId="AD" w15:userId="S-1-5-21-3458574638-2780845101-4193349012-149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C3"/>
    <w:rsid w:val="0012170B"/>
    <w:rsid w:val="001D0BA5"/>
    <w:rsid w:val="002063C3"/>
    <w:rsid w:val="002731BD"/>
    <w:rsid w:val="002F2131"/>
    <w:rsid w:val="00383177"/>
    <w:rsid w:val="004006E0"/>
    <w:rsid w:val="005652FE"/>
    <w:rsid w:val="005D69CB"/>
    <w:rsid w:val="006B410E"/>
    <w:rsid w:val="00896A6E"/>
    <w:rsid w:val="008C2717"/>
    <w:rsid w:val="0093046C"/>
    <w:rsid w:val="009402D9"/>
    <w:rsid w:val="009929AF"/>
    <w:rsid w:val="00A779FA"/>
    <w:rsid w:val="00BE19BA"/>
    <w:rsid w:val="00BE2B41"/>
    <w:rsid w:val="00C8554D"/>
    <w:rsid w:val="00E42581"/>
    <w:rsid w:val="00ED3A2D"/>
    <w:rsid w:val="00F73D0E"/>
    <w:rsid w:val="00F871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96B6"/>
  <w15:docId w15:val="{B15E2366-1C3F-E141-B7FA-75D6733E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3C3"/>
    <w:pPr>
      <w:ind w:left="720"/>
      <w:contextualSpacing/>
    </w:pPr>
  </w:style>
  <w:style w:type="character" w:styleId="Hyperlink">
    <w:name w:val="Hyperlink"/>
    <w:basedOn w:val="DefaultParagraphFont"/>
    <w:uiPriority w:val="99"/>
    <w:semiHidden/>
    <w:unhideWhenUsed/>
    <w:rsid w:val="00F73D0E"/>
    <w:rPr>
      <w:color w:val="0000FF"/>
      <w:u w:val="single"/>
    </w:rPr>
  </w:style>
  <w:style w:type="paragraph" w:styleId="NoSpacing">
    <w:name w:val="No Spacing"/>
    <w:basedOn w:val="Normal"/>
    <w:uiPriority w:val="1"/>
    <w:qFormat/>
    <w:rsid w:val="00F73D0E"/>
    <w:pPr>
      <w:spacing w:before="100" w:beforeAutospacing="1" w:after="100" w:afterAutospacing="1" w:line="240" w:lineRule="auto"/>
    </w:pPr>
    <w:rPr>
      <w:rFonts w:ascii="Times New Roman" w:hAnsi="Times New Roman" w:cs="Times New Roman"/>
      <w:sz w:val="24"/>
      <w:szCs w:val="24"/>
      <w:lang w:eastAsia="en-CA"/>
    </w:rPr>
  </w:style>
  <w:style w:type="table" w:styleId="TableGrid">
    <w:name w:val="Table Grid"/>
    <w:basedOn w:val="TableNormal"/>
    <w:uiPriority w:val="59"/>
    <w:rsid w:val="001D0BA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0BA5"/>
    <w:rPr>
      <w:sz w:val="16"/>
      <w:szCs w:val="16"/>
    </w:rPr>
  </w:style>
  <w:style w:type="paragraph" w:styleId="CommentText">
    <w:name w:val="annotation text"/>
    <w:basedOn w:val="Normal"/>
    <w:link w:val="CommentTextChar"/>
    <w:uiPriority w:val="99"/>
    <w:semiHidden/>
    <w:unhideWhenUsed/>
    <w:rsid w:val="001D0BA5"/>
    <w:pPr>
      <w:spacing w:line="240" w:lineRule="auto"/>
    </w:pPr>
    <w:rPr>
      <w:rFonts w:eastAsia="SimSun"/>
      <w:sz w:val="20"/>
      <w:szCs w:val="20"/>
    </w:rPr>
  </w:style>
  <w:style w:type="character" w:customStyle="1" w:styleId="CommentTextChar">
    <w:name w:val="Comment Text Char"/>
    <w:basedOn w:val="DefaultParagraphFont"/>
    <w:link w:val="CommentText"/>
    <w:uiPriority w:val="99"/>
    <w:semiHidden/>
    <w:rsid w:val="001D0BA5"/>
    <w:rPr>
      <w:rFonts w:eastAsia="SimSun"/>
      <w:sz w:val="20"/>
      <w:szCs w:val="20"/>
    </w:rPr>
  </w:style>
  <w:style w:type="paragraph" w:styleId="Header">
    <w:name w:val="header"/>
    <w:basedOn w:val="Normal"/>
    <w:link w:val="HeaderChar"/>
    <w:uiPriority w:val="99"/>
    <w:unhideWhenUsed/>
    <w:rsid w:val="00940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2D9"/>
  </w:style>
  <w:style w:type="paragraph" w:styleId="Footer">
    <w:name w:val="footer"/>
    <w:basedOn w:val="Normal"/>
    <w:link w:val="FooterChar"/>
    <w:uiPriority w:val="99"/>
    <w:unhideWhenUsed/>
    <w:rsid w:val="00940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 Ben</dc:creator>
  <cp:lastModifiedBy>Alison Stuart-Crump</cp:lastModifiedBy>
  <cp:revision>7</cp:revision>
  <cp:lastPrinted>2014-01-16T18:46:00Z</cp:lastPrinted>
  <dcterms:created xsi:type="dcterms:W3CDTF">2018-10-01T17:07:00Z</dcterms:created>
  <dcterms:modified xsi:type="dcterms:W3CDTF">2024-03-08T21:51:00Z</dcterms:modified>
</cp:coreProperties>
</file>