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F50" w:rsidRPr="0099665A" w:rsidRDefault="0099665A">
      <w:pPr>
        <w:rPr>
          <w:rFonts w:ascii="Arial" w:hAnsi="Arial"/>
          <w:b/>
          <w:sz w:val="28"/>
          <w:u w:val="single"/>
        </w:rPr>
      </w:pPr>
      <w:r w:rsidRPr="0099665A">
        <w:rPr>
          <w:rFonts w:ascii="Arial" w:hAnsi="Arial"/>
          <w:b/>
          <w:sz w:val="28"/>
          <w:u w:val="single"/>
        </w:rPr>
        <w:t>SNAPSHOTS:</w:t>
      </w:r>
      <w:r w:rsidR="00E92833">
        <w:rPr>
          <w:rFonts w:ascii="Arial" w:hAnsi="Arial"/>
          <w:b/>
          <w:sz w:val="28"/>
          <w:u w:val="single"/>
        </w:rPr>
        <w:t xml:space="preserve"> WOMEN FACULTY INITIATIVES, FACULTY PROCESSES, and</w:t>
      </w:r>
      <w:r w:rsidR="00135F50" w:rsidRPr="0099665A">
        <w:rPr>
          <w:rFonts w:ascii="Arial" w:hAnsi="Arial"/>
          <w:b/>
          <w:sz w:val="28"/>
          <w:u w:val="single"/>
        </w:rPr>
        <w:t xml:space="preserve"> DATA</w:t>
      </w:r>
    </w:p>
    <w:p w:rsidR="00135F50" w:rsidRDefault="00135F50">
      <w:pPr>
        <w:rPr>
          <w:rFonts w:ascii="Arial" w:hAnsi="Arial"/>
          <w:b/>
          <w:sz w:val="28"/>
        </w:rPr>
      </w:pPr>
    </w:p>
    <w:p w:rsidR="005A2049" w:rsidRPr="001F329A" w:rsidRDefault="005A2049">
      <w:pPr>
        <w:rPr>
          <w:rFonts w:ascii="Arial" w:hAnsi="Arial"/>
          <w:b/>
          <w:sz w:val="28"/>
        </w:rPr>
      </w:pPr>
      <w:r w:rsidRPr="001F329A">
        <w:rPr>
          <w:rFonts w:ascii="Arial" w:hAnsi="Arial"/>
          <w:b/>
          <w:sz w:val="28"/>
        </w:rPr>
        <w:t>FACULTY HIRING:</w:t>
      </w:r>
    </w:p>
    <w:p w:rsidR="005A2049" w:rsidRDefault="005A2049">
      <w:pPr>
        <w:rPr>
          <w:rFonts w:ascii="Arial" w:hAnsi="Arial"/>
          <w:sz w:val="28"/>
        </w:rPr>
      </w:pPr>
    </w:p>
    <w:p w:rsidR="00A225CD" w:rsidRDefault="00A225CD">
      <w:pPr>
        <w:rPr>
          <w:rFonts w:ascii="Arial" w:hAnsi="Arial"/>
        </w:rPr>
      </w:pPr>
      <w:r w:rsidRPr="00D41512">
        <w:rPr>
          <w:rFonts w:ascii="Arial" w:hAnsi="Arial"/>
        </w:rPr>
        <w:t xml:space="preserve">Since the fall of 2011, with nearly full coverage of all </w:t>
      </w:r>
      <w:r w:rsidR="00254A47" w:rsidRPr="00D41512">
        <w:rPr>
          <w:rFonts w:ascii="Arial" w:hAnsi="Arial"/>
        </w:rPr>
        <w:t xml:space="preserve">UBC-V </w:t>
      </w:r>
      <w:r w:rsidRPr="00D41512">
        <w:rPr>
          <w:rFonts w:ascii="Arial" w:hAnsi="Arial"/>
        </w:rPr>
        <w:t>Faculties since e</w:t>
      </w:r>
      <w:r w:rsidR="0099665A">
        <w:rPr>
          <w:rFonts w:ascii="Arial" w:hAnsi="Arial"/>
        </w:rPr>
        <w:t>arly 2012, faculty hiring</w:t>
      </w:r>
      <w:r w:rsidRPr="00D41512">
        <w:rPr>
          <w:rFonts w:ascii="Arial" w:hAnsi="Arial"/>
        </w:rPr>
        <w:t xml:space="preserve"> committees have received an </w:t>
      </w:r>
      <w:hyperlink r:id="rId5" w:history="1">
        <w:r w:rsidR="0099665A" w:rsidRPr="0099665A">
          <w:rPr>
            <w:rStyle w:val="Hyperlink"/>
            <w:rFonts w:ascii="Arial" w:hAnsi="Arial"/>
          </w:rPr>
          <w:t>orientation</w:t>
        </w:r>
      </w:hyperlink>
      <w:r w:rsidRPr="00D41512">
        <w:rPr>
          <w:rFonts w:ascii="Arial" w:hAnsi="Arial"/>
        </w:rPr>
        <w:t xml:space="preserve"> on equity and diversity and good hiring processes. </w:t>
      </w:r>
    </w:p>
    <w:p w:rsidR="0099665A" w:rsidRPr="00D41512" w:rsidRDefault="0099665A">
      <w:pPr>
        <w:rPr>
          <w:rFonts w:ascii="Arial" w:hAnsi="Arial"/>
        </w:rPr>
      </w:pPr>
    </w:p>
    <w:p w:rsidR="00A225CD" w:rsidRPr="00D41512" w:rsidRDefault="0099665A">
      <w:pPr>
        <w:rPr>
          <w:rFonts w:ascii="Arial" w:hAnsi="Arial"/>
        </w:rPr>
      </w:pPr>
      <w:r>
        <w:rPr>
          <w:rFonts w:ascii="Arial" w:hAnsi="Arial"/>
        </w:rPr>
        <w:t>For 2012-2014</w:t>
      </w:r>
      <w:r w:rsidR="00A225CD" w:rsidRPr="00D41512">
        <w:rPr>
          <w:rFonts w:ascii="Arial" w:hAnsi="Arial"/>
        </w:rPr>
        <w:t>:  Average annual % of women</w:t>
      </w:r>
      <w:r w:rsidR="006C55A6">
        <w:rPr>
          <w:rFonts w:ascii="Arial" w:hAnsi="Arial"/>
        </w:rPr>
        <w:t xml:space="preserve"> hired into</w:t>
      </w:r>
      <w:r w:rsidR="005A2049" w:rsidRPr="00D41512">
        <w:rPr>
          <w:rFonts w:ascii="Arial" w:hAnsi="Arial"/>
        </w:rPr>
        <w:t xml:space="preserve"> tenure-stream appointment</w:t>
      </w:r>
      <w:r w:rsidR="00194D7F">
        <w:rPr>
          <w:rFonts w:ascii="Arial" w:hAnsi="Arial"/>
        </w:rPr>
        <w:t>s:</w:t>
      </w:r>
      <w:r w:rsidR="009233EF">
        <w:rPr>
          <w:rFonts w:ascii="Arial" w:hAnsi="Arial"/>
        </w:rPr>
        <w:t xml:space="preserve">  46</w:t>
      </w:r>
      <w:r w:rsidR="00A225CD" w:rsidRPr="00D41512">
        <w:rPr>
          <w:rFonts w:ascii="Arial" w:hAnsi="Arial"/>
        </w:rPr>
        <w:t>%</w:t>
      </w:r>
    </w:p>
    <w:p w:rsidR="00750599" w:rsidRPr="00D41512" w:rsidRDefault="00750599">
      <w:pPr>
        <w:rPr>
          <w:rFonts w:ascii="Arial" w:hAnsi="Arial"/>
        </w:rPr>
      </w:pPr>
    </w:p>
    <w:p w:rsidR="00750599" w:rsidRPr="00D41512" w:rsidRDefault="00A225CD">
      <w:pPr>
        <w:rPr>
          <w:rFonts w:ascii="Arial" w:hAnsi="Arial"/>
        </w:rPr>
      </w:pPr>
      <w:r w:rsidRPr="00D41512">
        <w:rPr>
          <w:rFonts w:ascii="Arial" w:hAnsi="Arial"/>
        </w:rPr>
        <w:t>Previous 10 years (2002-2011):  Average annual % of women</w:t>
      </w:r>
      <w:r w:rsidR="006C55A6">
        <w:rPr>
          <w:rFonts w:ascii="Arial" w:hAnsi="Arial"/>
        </w:rPr>
        <w:t xml:space="preserve"> hired into</w:t>
      </w:r>
      <w:r w:rsidRPr="00D41512">
        <w:rPr>
          <w:rFonts w:ascii="Arial" w:hAnsi="Arial"/>
        </w:rPr>
        <w:t xml:space="preserve"> </w:t>
      </w:r>
      <w:r w:rsidR="005A2049" w:rsidRPr="00D41512">
        <w:rPr>
          <w:rFonts w:ascii="Arial" w:hAnsi="Arial"/>
        </w:rPr>
        <w:t>tenure-stream appointments: 35.4</w:t>
      </w:r>
      <w:r w:rsidRPr="00D41512">
        <w:rPr>
          <w:rFonts w:ascii="Arial" w:hAnsi="Arial"/>
        </w:rPr>
        <w:t>%</w:t>
      </w:r>
    </w:p>
    <w:p w:rsidR="00A225CD" w:rsidRPr="00D41512" w:rsidRDefault="00A225CD">
      <w:pPr>
        <w:rPr>
          <w:rFonts w:ascii="Arial" w:hAnsi="Arial"/>
        </w:rPr>
      </w:pPr>
    </w:p>
    <w:p w:rsidR="00254A47" w:rsidRPr="00D41512" w:rsidRDefault="001F329A">
      <w:pPr>
        <w:rPr>
          <w:rFonts w:ascii="Arial" w:hAnsi="Arial"/>
        </w:rPr>
      </w:pPr>
      <w:r w:rsidRPr="00D41512">
        <w:rPr>
          <w:rFonts w:ascii="Arial" w:hAnsi="Arial"/>
        </w:rPr>
        <w:t>The</w:t>
      </w:r>
      <w:r w:rsidR="006C55A6">
        <w:rPr>
          <w:rFonts w:ascii="Arial" w:hAnsi="Arial"/>
        </w:rPr>
        <w:t xml:space="preserve"> recent</w:t>
      </w:r>
      <w:r w:rsidR="00135F50">
        <w:rPr>
          <w:rFonts w:ascii="Arial" w:hAnsi="Arial"/>
        </w:rPr>
        <w:t>ly</w:t>
      </w:r>
      <w:r w:rsidRPr="00D41512">
        <w:rPr>
          <w:rFonts w:ascii="Arial" w:hAnsi="Arial"/>
        </w:rPr>
        <w:t xml:space="preserve"> estimated talent pool is 40% women. </w:t>
      </w:r>
      <w:r w:rsidR="00135F50">
        <w:rPr>
          <w:rFonts w:ascii="Arial" w:hAnsi="Arial"/>
        </w:rPr>
        <w:t>The</w:t>
      </w:r>
      <w:r w:rsidR="00A225CD" w:rsidRPr="00D41512">
        <w:rPr>
          <w:rFonts w:ascii="Arial" w:hAnsi="Arial"/>
        </w:rPr>
        <w:t xml:space="preserve"> increase</w:t>
      </w:r>
      <w:r w:rsidR="00135F50">
        <w:rPr>
          <w:rFonts w:ascii="Arial" w:hAnsi="Arial"/>
        </w:rPr>
        <w:t xml:space="preserve"> in representation in the hiring</w:t>
      </w:r>
      <w:r w:rsidR="00A225CD" w:rsidRPr="00D41512">
        <w:rPr>
          <w:rFonts w:ascii="Arial" w:hAnsi="Arial"/>
        </w:rPr>
        <w:t xml:space="preserve"> has been supported through a combination of multi-level efforts at Central, Faculty, and department levels.</w:t>
      </w:r>
    </w:p>
    <w:p w:rsidR="00254A47" w:rsidRPr="00D41512" w:rsidRDefault="00254A47">
      <w:pPr>
        <w:rPr>
          <w:rFonts w:ascii="Arial" w:hAnsi="Arial"/>
        </w:rPr>
      </w:pPr>
    </w:p>
    <w:p w:rsidR="00D444AD" w:rsidRDefault="00254A47">
      <w:pPr>
        <w:rPr>
          <w:rFonts w:ascii="Arial" w:hAnsi="Arial"/>
        </w:rPr>
      </w:pPr>
      <w:r w:rsidRPr="00D41512">
        <w:rPr>
          <w:rFonts w:ascii="Arial" w:hAnsi="Arial"/>
        </w:rPr>
        <w:t>The chart below gives this data based on previous data collected as part of the annual equity data</w:t>
      </w:r>
      <w:r w:rsidR="001F329A" w:rsidRPr="00D41512">
        <w:rPr>
          <w:rFonts w:ascii="Arial" w:hAnsi="Arial"/>
        </w:rPr>
        <w:t xml:space="preserve"> (lines)</w:t>
      </w:r>
      <w:r w:rsidRPr="00D41512">
        <w:rPr>
          <w:rFonts w:ascii="Arial" w:hAnsi="Arial"/>
        </w:rPr>
        <w:t xml:space="preserve">, together with the </w:t>
      </w:r>
      <w:r w:rsidR="00277930">
        <w:rPr>
          <w:rFonts w:ascii="Arial" w:hAnsi="Arial"/>
        </w:rPr>
        <w:t xml:space="preserve">hiring </w:t>
      </w:r>
      <w:r w:rsidRPr="00D41512">
        <w:rPr>
          <w:rFonts w:ascii="Arial" w:hAnsi="Arial"/>
        </w:rPr>
        <w:t>data for 2014 added</w:t>
      </w:r>
      <w:r w:rsidR="001F329A" w:rsidRPr="00D41512">
        <w:rPr>
          <w:rFonts w:ascii="Arial" w:hAnsi="Arial"/>
        </w:rPr>
        <w:t xml:space="preserve"> as *</w:t>
      </w:r>
      <w:r w:rsidRPr="00D41512">
        <w:rPr>
          <w:rFonts w:ascii="Arial" w:hAnsi="Arial"/>
        </w:rPr>
        <w:t xml:space="preserve"> (equity data for 2014 not yet released).</w:t>
      </w:r>
    </w:p>
    <w:p w:rsidR="00D444AD" w:rsidRDefault="00D444AD">
      <w:pPr>
        <w:rPr>
          <w:rFonts w:ascii="Arial" w:hAnsi="Arial"/>
        </w:rPr>
      </w:pPr>
    </w:p>
    <w:p w:rsidR="00BB18C6" w:rsidRPr="00BB18C6" w:rsidRDefault="00BB18C6" w:rsidP="00D444AD">
      <w:pPr>
        <w:rPr>
          <w:rFonts w:ascii="Arial" w:hAnsi="Arial"/>
        </w:rPr>
      </w:pPr>
      <w:r w:rsidRPr="00BB18C6">
        <w:rPr>
          <w:rFonts w:ascii="Arial" w:hAnsi="Arial"/>
        </w:rPr>
        <w:t>Other supports for Faculty hiring:</w:t>
      </w:r>
      <w:r w:rsidR="006C55A6">
        <w:rPr>
          <w:rFonts w:ascii="Arial" w:hAnsi="Arial"/>
        </w:rPr>
        <w:t xml:space="preserve"> </w:t>
      </w:r>
      <w:hyperlink r:id="rId6" w:history="1">
        <w:r w:rsidRPr="0099665A">
          <w:rPr>
            <w:rStyle w:val="Hyperlink"/>
            <w:rFonts w:ascii="Arial" w:hAnsi="Arial"/>
          </w:rPr>
          <w:t xml:space="preserve">Dual </w:t>
        </w:r>
        <w:bookmarkStart w:id="0" w:name="_GoBack"/>
        <w:bookmarkEnd w:id="0"/>
        <w:r w:rsidRPr="0099665A">
          <w:rPr>
            <w:rStyle w:val="Hyperlink"/>
            <w:rFonts w:ascii="Arial" w:hAnsi="Arial"/>
          </w:rPr>
          <w:t>Career</w:t>
        </w:r>
      </w:hyperlink>
      <w:r w:rsidRPr="00BB18C6">
        <w:rPr>
          <w:rFonts w:ascii="Arial" w:hAnsi="Arial"/>
        </w:rPr>
        <w:t xml:space="preserve">, </w:t>
      </w:r>
      <w:hyperlink r:id="rId7" w:history="1">
        <w:r w:rsidRPr="0099665A">
          <w:rPr>
            <w:rStyle w:val="Hyperlink"/>
            <w:rFonts w:ascii="Arial" w:hAnsi="Arial"/>
          </w:rPr>
          <w:t>Childcare priority spaces</w:t>
        </w:r>
      </w:hyperlink>
      <w:r w:rsidRPr="00BB18C6">
        <w:rPr>
          <w:rFonts w:ascii="Arial" w:hAnsi="Arial"/>
        </w:rPr>
        <w:t xml:space="preserve">, and </w:t>
      </w:r>
      <w:hyperlink r:id="rId8" w:history="1">
        <w:r w:rsidR="0099665A">
          <w:rPr>
            <w:rStyle w:val="Hyperlink"/>
            <w:rFonts w:ascii="Arial" w:hAnsi="Arial"/>
          </w:rPr>
          <w:t>Faculty Homeownership</w:t>
        </w:r>
      </w:hyperlink>
      <w:r w:rsidR="0099665A">
        <w:rPr>
          <w:rFonts w:ascii="Arial" w:hAnsi="Arial"/>
        </w:rPr>
        <w:t xml:space="preserve"> </w:t>
      </w:r>
      <w:r>
        <w:rPr>
          <w:rFonts w:ascii="Arial" w:hAnsi="Arial"/>
        </w:rPr>
        <w:t>programs have all received significant upgrades</w:t>
      </w:r>
      <w:r w:rsidRPr="00BB18C6">
        <w:rPr>
          <w:rFonts w:ascii="Arial" w:hAnsi="Arial"/>
        </w:rPr>
        <w:t xml:space="preserve"> to support the recruitment of </w:t>
      </w:r>
      <w:r w:rsidR="0099665A">
        <w:rPr>
          <w:rFonts w:ascii="Arial" w:hAnsi="Arial"/>
        </w:rPr>
        <w:t xml:space="preserve">a diverse </w:t>
      </w:r>
      <w:r w:rsidRPr="00BB18C6">
        <w:rPr>
          <w:rFonts w:ascii="Arial" w:hAnsi="Arial"/>
        </w:rPr>
        <w:t>faculty.</w:t>
      </w:r>
    </w:p>
    <w:p w:rsidR="00BB18C6" w:rsidRDefault="00BB18C6" w:rsidP="00D444AD">
      <w:pPr>
        <w:rPr>
          <w:rFonts w:ascii="Arial" w:hAnsi="Arial"/>
          <w:b/>
          <w:sz w:val="28"/>
        </w:rPr>
      </w:pPr>
    </w:p>
    <w:p w:rsidR="00D444AD" w:rsidRPr="00D41512" w:rsidRDefault="00D444AD" w:rsidP="00D444AD">
      <w:pPr>
        <w:rPr>
          <w:rFonts w:ascii="Arial" w:hAnsi="Arial"/>
          <w:b/>
          <w:sz w:val="28"/>
        </w:rPr>
      </w:pPr>
      <w:r w:rsidRPr="00D41512">
        <w:rPr>
          <w:rFonts w:ascii="Arial" w:hAnsi="Arial"/>
          <w:b/>
          <w:sz w:val="28"/>
        </w:rPr>
        <w:t>LEADERSHIP:</w:t>
      </w:r>
    </w:p>
    <w:p w:rsidR="00D444AD" w:rsidRDefault="00D444AD" w:rsidP="00D444AD">
      <w:pPr>
        <w:rPr>
          <w:rFonts w:ascii="Arial" w:hAnsi="Arial"/>
        </w:rPr>
      </w:pPr>
    </w:p>
    <w:p w:rsidR="00D444AD" w:rsidRDefault="00135F50" w:rsidP="00D444AD">
      <w:pPr>
        <w:rPr>
          <w:rFonts w:ascii="Arial" w:hAnsi="Arial"/>
        </w:rPr>
      </w:pPr>
      <w:r>
        <w:rPr>
          <w:rFonts w:ascii="Arial" w:hAnsi="Arial"/>
        </w:rPr>
        <w:t xml:space="preserve">  </w:t>
      </w:r>
      <w:r w:rsidR="006C55A6">
        <w:rPr>
          <w:rFonts w:ascii="Arial" w:hAnsi="Arial"/>
        </w:rPr>
        <w:t>Leadership data from 2013 shows a strong representation of women</w:t>
      </w:r>
      <w:r w:rsidR="0094758F">
        <w:rPr>
          <w:rFonts w:ascii="Arial" w:hAnsi="Arial"/>
        </w:rPr>
        <w:t xml:space="preserve"> faculty</w:t>
      </w:r>
      <w:r w:rsidR="006C55A6">
        <w:rPr>
          <w:rFonts w:ascii="Arial" w:hAnsi="Arial"/>
        </w:rPr>
        <w:t xml:space="preserve"> at </w:t>
      </w:r>
      <w:r w:rsidR="00BB18C6">
        <w:rPr>
          <w:rFonts w:ascii="Arial" w:hAnsi="Arial"/>
        </w:rPr>
        <w:t>the AVP</w:t>
      </w:r>
      <w:r w:rsidR="006C55A6">
        <w:rPr>
          <w:rFonts w:ascii="Arial" w:hAnsi="Arial"/>
        </w:rPr>
        <w:t xml:space="preserve"> (75%)</w:t>
      </w:r>
      <w:r w:rsidR="00BB18C6">
        <w:rPr>
          <w:rFonts w:ascii="Arial" w:hAnsi="Arial"/>
        </w:rPr>
        <w:t xml:space="preserve"> and Associate Dean</w:t>
      </w:r>
      <w:r w:rsidR="006C55A6">
        <w:rPr>
          <w:rFonts w:ascii="Arial" w:hAnsi="Arial"/>
        </w:rPr>
        <w:t xml:space="preserve"> (37%)</w:t>
      </w:r>
      <w:r w:rsidR="0099665A">
        <w:rPr>
          <w:rFonts w:ascii="Arial" w:hAnsi="Arial"/>
        </w:rPr>
        <w:t xml:space="preserve"> levels, as well as</w:t>
      </w:r>
      <w:r w:rsidR="0094758F">
        <w:rPr>
          <w:rFonts w:ascii="Arial" w:hAnsi="Arial"/>
        </w:rPr>
        <w:t xml:space="preserve"> for faculty in</w:t>
      </w:r>
      <w:r w:rsidR="0099665A">
        <w:rPr>
          <w:rFonts w:ascii="Arial" w:hAnsi="Arial"/>
        </w:rPr>
        <w:t xml:space="preserve"> a collection of other academic </w:t>
      </w:r>
      <w:r w:rsidR="0094758F">
        <w:rPr>
          <w:rFonts w:ascii="Arial" w:hAnsi="Arial"/>
        </w:rPr>
        <w:t>administrative</w:t>
      </w:r>
      <w:r w:rsidR="0099665A">
        <w:rPr>
          <w:rFonts w:ascii="Arial" w:hAnsi="Arial"/>
        </w:rPr>
        <w:t xml:space="preserve"> positions (</w:t>
      </w:r>
      <w:r w:rsidR="0094758F">
        <w:rPr>
          <w:rFonts w:ascii="Arial" w:hAnsi="Arial"/>
        </w:rPr>
        <w:t>approximately 43%</w:t>
      </w:r>
      <w:r w:rsidR="0099665A">
        <w:rPr>
          <w:rFonts w:ascii="Arial" w:hAnsi="Arial"/>
        </w:rPr>
        <w:t>)</w:t>
      </w:r>
      <w:r w:rsidR="00BB18C6">
        <w:rPr>
          <w:rFonts w:ascii="Arial" w:hAnsi="Arial"/>
        </w:rPr>
        <w:t>.  W</w:t>
      </w:r>
      <w:r w:rsidR="006C55A6">
        <w:rPr>
          <w:rFonts w:ascii="Arial" w:hAnsi="Arial"/>
        </w:rPr>
        <w:t xml:space="preserve">e have </w:t>
      </w:r>
      <w:r w:rsidR="00BB18C6">
        <w:rPr>
          <w:rFonts w:ascii="Arial" w:hAnsi="Arial"/>
        </w:rPr>
        <w:t xml:space="preserve">seen an increase in the representation of women in Associate Dean for Research positions, which have been below </w:t>
      </w:r>
      <w:r w:rsidR="00E92833">
        <w:rPr>
          <w:rFonts w:ascii="Arial" w:hAnsi="Arial"/>
        </w:rPr>
        <w:t>f</w:t>
      </w:r>
      <w:r w:rsidR="006C55A6">
        <w:rPr>
          <w:rFonts w:ascii="Arial" w:hAnsi="Arial"/>
        </w:rPr>
        <w:t xml:space="preserve">aculty </w:t>
      </w:r>
      <w:r w:rsidR="00BB18C6">
        <w:rPr>
          <w:rFonts w:ascii="Arial" w:hAnsi="Arial"/>
        </w:rPr>
        <w:t>representation prior to 2014.</w:t>
      </w:r>
    </w:p>
    <w:p w:rsidR="00D444AD" w:rsidRPr="00D41512" w:rsidRDefault="00135F50" w:rsidP="00D444AD">
      <w:pPr>
        <w:rPr>
          <w:rFonts w:ascii="Arial" w:hAnsi="Arial"/>
        </w:rPr>
      </w:pPr>
      <w:r>
        <w:rPr>
          <w:rFonts w:ascii="Arial" w:hAnsi="Arial"/>
        </w:rPr>
        <w:t xml:space="preserve">  </w:t>
      </w:r>
      <w:r w:rsidR="00D444AD">
        <w:rPr>
          <w:rFonts w:ascii="Arial" w:hAnsi="Arial"/>
        </w:rPr>
        <w:t>Representation of women at mid-level academic executive positions – Deans</w:t>
      </w:r>
      <w:r>
        <w:rPr>
          <w:rFonts w:ascii="Arial" w:hAnsi="Arial"/>
        </w:rPr>
        <w:t xml:space="preserve"> (9%)</w:t>
      </w:r>
      <w:r w:rsidR="00D444AD">
        <w:rPr>
          <w:rFonts w:ascii="Arial" w:hAnsi="Arial"/>
        </w:rPr>
        <w:t xml:space="preserve"> and heads</w:t>
      </w:r>
      <w:r>
        <w:rPr>
          <w:rFonts w:ascii="Arial" w:hAnsi="Arial"/>
        </w:rPr>
        <w:t xml:space="preserve"> (23%)</w:t>
      </w:r>
      <w:r w:rsidR="00D444AD">
        <w:rPr>
          <w:rFonts w:ascii="Arial" w:hAnsi="Arial"/>
        </w:rPr>
        <w:t xml:space="preserve"> – continues to be low. Part of the issue for department heads may be that the % of full professors that are women is still below 25% (see section on Tenure and Promotion above).</w:t>
      </w:r>
      <w:r w:rsidR="00BB18C6">
        <w:rPr>
          <w:rFonts w:ascii="Arial" w:hAnsi="Arial"/>
        </w:rPr>
        <w:t xml:space="preserve">  </w:t>
      </w:r>
      <w:r w:rsidR="0094758F">
        <w:rPr>
          <w:rFonts w:ascii="Arial" w:hAnsi="Arial"/>
        </w:rPr>
        <w:t xml:space="preserve"> Representation at the President and VP level is 30%, somewhat below peer institutions.</w:t>
      </w:r>
    </w:p>
    <w:p w:rsidR="00135F50" w:rsidRPr="001B5A89" w:rsidRDefault="00135F50" w:rsidP="00135F50">
      <w:pPr>
        <w:rPr>
          <w:rFonts w:ascii="Arial" w:hAnsi="Arial" w:cs="Arial"/>
        </w:rPr>
      </w:pPr>
      <w:r>
        <w:rPr>
          <w:rFonts w:ascii="Arial" w:hAnsi="Arial"/>
        </w:rPr>
        <w:t xml:space="preserve">  </w:t>
      </w:r>
      <w:r w:rsidR="00BB18C6">
        <w:rPr>
          <w:rFonts w:ascii="Arial" w:hAnsi="Arial"/>
        </w:rPr>
        <w:t>In 2012-</w:t>
      </w:r>
      <w:r w:rsidR="0094758F">
        <w:rPr>
          <w:rFonts w:ascii="Arial" w:hAnsi="Arial"/>
        </w:rPr>
        <w:t>2014, we ran</w:t>
      </w:r>
      <w:r w:rsidR="0099665A">
        <w:rPr>
          <w:rFonts w:ascii="Arial" w:hAnsi="Arial"/>
        </w:rPr>
        <w:t xml:space="preserve"> several</w:t>
      </w:r>
      <w:r>
        <w:rPr>
          <w:rFonts w:ascii="Arial" w:hAnsi="Arial"/>
        </w:rPr>
        <w:t xml:space="preserve"> </w:t>
      </w:r>
      <w:hyperlink r:id="rId9" w:history="1">
        <w:r w:rsidR="0099665A" w:rsidRPr="0099665A">
          <w:rPr>
            <w:rStyle w:val="Hyperlink"/>
            <w:rFonts w:ascii="Arial" w:hAnsi="Arial"/>
          </w:rPr>
          <w:t xml:space="preserve">Leadership </w:t>
        </w:r>
        <w:proofErr w:type="spellStart"/>
        <w:r w:rsidR="0099665A" w:rsidRPr="0099665A">
          <w:rPr>
            <w:rStyle w:val="Hyperlink"/>
            <w:rFonts w:ascii="Arial" w:hAnsi="Arial"/>
          </w:rPr>
          <w:t>Fora</w:t>
        </w:r>
        <w:proofErr w:type="spellEnd"/>
      </w:hyperlink>
      <w:r w:rsidR="0099665A">
        <w:rPr>
          <w:rFonts w:ascii="Arial" w:hAnsi="Arial"/>
        </w:rPr>
        <w:t xml:space="preserve"> </w:t>
      </w:r>
      <w:r w:rsidR="00BB18C6">
        <w:rPr>
          <w:rFonts w:ascii="Arial" w:hAnsi="Arial"/>
        </w:rPr>
        <w:t>to support gender diversity and women faculty in leadership, with Faculty level follow-up plans</w:t>
      </w:r>
      <w:r w:rsidR="00FE3EEA">
        <w:rPr>
          <w:rFonts w:ascii="Arial" w:hAnsi="Arial"/>
        </w:rPr>
        <w:t>. Nine faculties and over 160 women faculty have participated.</w:t>
      </w:r>
      <w:r>
        <w:rPr>
          <w:rFonts w:ascii="Arial" w:hAnsi="Arial"/>
        </w:rPr>
        <w:t xml:space="preserve"> </w:t>
      </w:r>
      <w:r w:rsidRPr="001B5A89">
        <w:rPr>
          <w:rFonts w:ascii="Arial" w:hAnsi="Arial" w:cs="Arial"/>
        </w:rPr>
        <w:t xml:space="preserve">Furthermore, a Leadership Advisory </w:t>
      </w:r>
      <w:r w:rsidRPr="001B5A89">
        <w:rPr>
          <w:rFonts w:ascii="Arial" w:hAnsi="Arial" w:cs="Arial"/>
        </w:rPr>
        <w:lastRenderedPageBreak/>
        <w:t xml:space="preserve">Group has recommended </w:t>
      </w:r>
      <w:hyperlink r:id="rId10" w:history="1">
        <w:r w:rsidRPr="001B5A89">
          <w:rPr>
            <w:rStyle w:val="Hyperlink"/>
            <w:rFonts w:ascii="Arial" w:hAnsi="Arial" w:cs="Arial"/>
          </w:rPr>
          <w:t>three initiatives</w:t>
        </w:r>
      </w:hyperlink>
      <w:r w:rsidRPr="001B5A89">
        <w:rPr>
          <w:rFonts w:ascii="Arial" w:hAnsi="Arial" w:cs="Arial"/>
        </w:rPr>
        <w:t xml:space="preserve"> to be integrated into UBC’s Leadership programs. We are presently working on elements of the Career Advancement Series</w:t>
      </w:r>
      <w:r w:rsidR="0099665A" w:rsidRPr="001B5A89">
        <w:rPr>
          <w:rFonts w:ascii="Arial" w:hAnsi="Arial" w:cs="Arial"/>
        </w:rPr>
        <w:t>.</w:t>
      </w:r>
    </w:p>
    <w:p w:rsidR="00BB18C6" w:rsidRDefault="00BB18C6">
      <w:pPr>
        <w:rPr>
          <w:rFonts w:ascii="Arial" w:hAnsi="Arial"/>
        </w:rPr>
      </w:pPr>
    </w:p>
    <w:p w:rsidR="00750599" w:rsidRPr="00D41512" w:rsidRDefault="00750599">
      <w:pPr>
        <w:rPr>
          <w:rFonts w:ascii="Arial" w:hAnsi="Arial"/>
        </w:rPr>
      </w:pPr>
    </w:p>
    <w:p w:rsidR="00750599" w:rsidRDefault="00A225CD">
      <w:r w:rsidRPr="00A225CD">
        <w:rPr>
          <w:noProof/>
          <w:lang w:val="en-US" w:eastAsia="en-US"/>
        </w:rPr>
        <w:drawing>
          <wp:inline distT="0" distB="0" distL="0" distR="0">
            <wp:extent cx="6884035" cy="4320540"/>
            <wp:effectExtent l="25400" t="25400" r="24765" b="0"/>
            <wp:docPr id="12" name="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50599" w:rsidRDefault="00750599"/>
    <w:p w:rsidR="00750599" w:rsidRDefault="00750599"/>
    <w:p w:rsidR="00812BAC" w:rsidRDefault="001F329A">
      <w:r>
        <w:t>Note:  This data does not include hiring of academic administrators at the level of Deans or above</w:t>
      </w:r>
    </w:p>
    <w:p w:rsidR="00812BAC" w:rsidRDefault="00812BAC"/>
    <w:p w:rsidR="00812BAC" w:rsidRDefault="00812BAC"/>
    <w:p w:rsidR="00BB18C6" w:rsidRDefault="00BB18C6"/>
    <w:p w:rsidR="00BB18C6" w:rsidRDefault="00BB18C6">
      <w:pPr>
        <w:rPr>
          <w:rFonts w:ascii="Arial" w:hAnsi="Arial"/>
          <w:b/>
          <w:sz w:val="28"/>
        </w:rPr>
      </w:pPr>
    </w:p>
    <w:p w:rsidR="00030807" w:rsidRPr="00D41512" w:rsidRDefault="00812BAC">
      <w:pPr>
        <w:rPr>
          <w:rFonts w:ascii="Arial" w:hAnsi="Arial"/>
          <w:b/>
          <w:sz w:val="28"/>
        </w:rPr>
      </w:pPr>
      <w:r w:rsidRPr="00D41512">
        <w:rPr>
          <w:rFonts w:ascii="Arial" w:hAnsi="Arial"/>
          <w:b/>
          <w:sz w:val="28"/>
        </w:rPr>
        <w:t>FACULTY SALARY INCREASES:</w:t>
      </w:r>
    </w:p>
    <w:p w:rsidR="00030807" w:rsidRPr="00D41512" w:rsidRDefault="00030807">
      <w:pPr>
        <w:rPr>
          <w:rFonts w:ascii="Arial" w:hAnsi="Arial"/>
        </w:rPr>
      </w:pPr>
    </w:p>
    <w:p w:rsidR="00030807" w:rsidRPr="00D41512" w:rsidRDefault="00D21AE5">
      <w:pPr>
        <w:rPr>
          <w:rFonts w:ascii="Arial" w:hAnsi="Arial"/>
        </w:rPr>
      </w:pPr>
      <w:r>
        <w:rPr>
          <w:rFonts w:ascii="Arial" w:hAnsi="Arial"/>
        </w:rPr>
        <w:t xml:space="preserve">  </w:t>
      </w:r>
      <w:r w:rsidR="00D571E0" w:rsidRPr="00D41512">
        <w:rPr>
          <w:rFonts w:ascii="Arial" w:hAnsi="Arial"/>
        </w:rPr>
        <w:t>We have seen a decrease</w:t>
      </w:r>
      <w:r w:rsidR="00030807" w:rsidRPr="00D41512">
        <w:rPr>
          <w:rFonts w:ascii="Arial" w:hAnsi="Arial"/>
        </w:rPr>
        <w:t xml:space="preserve"> in the number of UBC-V Faculties</w:t>
      </w:r>
      <w:r w:rsidR="00D571E0" w:rsidRPr="00D41512">
        <w:rPr>
          <w:rFonts w:ascii="Arial" w:hAnsi="Arial"/>
        </w:rPr>
        <w:t xml:space="preserve"> </w:t>
      </w:r>
      <w:r w:rsidR="00B66A88">
        <w:rPr>
          <w:rFonts w:ascii="Arial" w:hAnsi="Arial"/>
        </w:rPr>
        <w:t>in which the % of merit awards</w:t>
      </w:r>
      <w:r w:rsidR="00D571E0" w:rsidRPr="00D41512">
        <w:rPr>
          <w:rFonts w:ascii="Arial" w:hAnsi="Arial"/>
        </w:rPr>
        <w:t xml:space="preserve"> to female faculty is below the representation of women faculty </w:t>
      </w:r>
      <w:r w:rsidR="00B66A88">
        <w:rPr>
          <w:rFonts w:ascii="Arial" w:hAnsi="Arial"/>
        </w:rPr>
        <w:t>(</w:t>
      </w:r>
      <w:r w:rsidR="00D571E0" w:rsidRPr="00D41512">
        <w:rPr>
          <w:rFonts w:ascii="Arial" w:hAnsi="Arial"/>
        </w:rPr>
        <w:t>among those eligible for a merit increase</w:t>
      </w:r>
      <w:r w:rsidR="00B66A88">
        <w:rPr>
          <w:rFonts w:ascii="Arial" w:hAnsi="Arial"/>
        </w:rPr>
        <w:t>)</w:t>
      </w:r>
      <w:r w:rsidR="00D571E0" w:rsidRPr="00D41512">
        <w:rPr>
          <w:rFonts w:ascii="Arial" w:hAnsi="Arial"/>
        </w:rPr>
        <w:t>.</w:t>
      </w:r>
    </w:p>
    <w:p w:rsidR="0099665A" w:rsidRDefault="0099665A">
      <w:pPr>
        <w:rPr>
          <w:rFonts w:ascii="Arial" w:hAnsi="Arial"/>
        </w:rPr>
      </w:pPr>
    </w:p>
    <w:p w:rsidR="00030807" w:rsidRPr="00D41512" w:rsidRDefault="00DD29AD">
      <w:pPr>
        <w:rPr>
          <w:rFonts w:ascii="Arial" w:hAnsi="Arial"/>
        </w:rPr>
      </w:pPr>
      <w:r>
        <w:rPr>
          <w:rFonts w:ascii="Arial" w:hAnsi="Arial"/>
        </w:rPr>
        <w:t xml:space="preserve">  </w:t>
      </w:r>
      <w:r w:rsidR="00030807" w:rsidRPr="00D41512">
        <w:rPr>
          <w:rFonts w:ascii="Arial" w:hAnsi="Arial"/>
        </w:rPr>
        <w:t>From 2007-2012:  8</w:t>
      </w:r>
      <w:r w:rsidR="00D571E0" w:rsidRPr="00D41512">
        <w:rPr>
          <w:rFonts w:ascii="Arial" w:hAnsi="Arial"/>
        </w:rPr>
        <w:t xml:space="preserve"> out of the 11 UBC-V Faculties awarded merit to women faculty at a</w:t>
      </w:r>
      <w:r w:rsidR="0099665A">
        <w:rPr>
          <w:rFonts w:ascii="Arial" w:hAnsi="Arial"/>
        </w:rPr>
        <w:t>n average</w:t>
      </w:r>
      <w:r w:rsidR="00D571E0" w:rsidRPr="00D41512">
        <w:rPr>
          <w:rFonts w:ascii="Arial" w:hAnsi="Arial"/>
        </w:rPr>
        <w:t xml:space="preserve"> % below their representation.</w:t>
      </w:r>
    </w:p>
    <w:p w:rsidR="00030807" w:rsidRPr="00D41512" w:rsidRDefault="00030807">
      <w:pPr>
        <w:rPr>
          <w:rFonts w:ascii="Arial" w:hAnsi="Arial"/>
        </w:rPr>
      </w:pPr>
    </w:p>
    <w:p w:rsidR="00030807" w:rsidRPr="00D41512" w:rsidRDefault="00DD29AD">
      <w:pPr>
        <w:rPr>
          <w:rFonts w:ascii="Arial" w:hAnsi="Arial"/>
        </w:rPr>
      </w:pPr>
      <w:r>
        <w:rPr>
          <w:rFonts w:ascii="Arial" w:hAnsi="Arial"/>
        </w:rPr>
        <w:t xml:space="preserve">  </w:t>
      </w:r>
      <w:r w:rsidR="00030807" w:rsidRPr="00D41512">
        <w:rPr>
          <w:rFonts w:ascii="Arial" w:hAnsi="Arial"/>
        </w:rPr>
        <w:t xml:space="preserve">In 2012, 6 out of 11 </w:t>
      </w:r>
      <w:r w:rsidR="00D571E0" w:rsidRPr="00D41512">
        <w:rPr>
          <w:rFonts w:ascii="Arial" w:hAnsi="Arial"/>
        </w:rPr>
        <w:t>UBC-V Faculties awarded merit to women faculty at a % below their representation.</w:t>
      </w:r>
    </w:p>
    <w:p w:rsidR="00030807" w:rsidRPr="00D41512" w:rsidRDefault="00030807">
      <w:pPr>
        <w:rPr>
          <w:rFonts w:ascii="Arial" w:hAnsi="Arial"/>
        </w:rPr>
      </w:pPr>
    </w:p>
    <w:p w:rsidR="00DA74FD" w:rsidRPr="00D41512" w:rsidRDefault="00DD29AD">
      <w:pPr>
        <w:rPr>
          <w:rFonts w:ascii="Arial" w:hAnsi="Arial"/>
        </w:rPr>
      </w:pPr>
      <w:r>
        <w:rPr>
          <w:rFonts w:ascii="Arial" w:hAnsi="Arial"/>
        </w:rPr>
        <w:t xml:space="preserve">  </w:t>
      </w:r>
      <w:r w:rsidR="00030807" w:rsidRPr="00D41512">
        <w:rPr>
          <w:rFonts w:ascii="Arial" w:hAnsi="Arial"/>
        </w:rPr>
        <w:t>In 2013, 2 out of 11 Faculties</w:t>
      </w:r>
      <w:r w:rsidR="00D571E0" w:rsidRPr="00D41512">
        <w:rPr>
          <w:rFonts w:ascii="Arial" w:hAnsi="Arial"/>
        </w:rPr>
        <w:t xml:space="preserve"> UBC-V Faculties awarded merit to women faculty at a % below their representation.</w:t>
      </w:r>
    </w:p>
    <w:p w:rsidR="00030807" w:rsidRPr="00D41512" w:rsidRDefault="00030807">
      <w:pPr>
        <w:rPr>
          <w:rFonts w:ascii="Arial" w:hAnsi="Arial"/>
        </w:rPr>
      </w:pPr>
    </w:p>
    <w:p w:rsidR="00030807" w:rsidRPr="00D41512" w:rsidRDefault="00D21AE5">
      <w:pPr>
        <w:rPr>
          <w:rFonts w:ascii="Arial" w:hAnsi="Arial"/>
        </w:rPr>
      </w:pPr>
      <w:r>
        <w:rPr>
          <w:rFonts w:ascii="Arial" w:hAnsi="Arial"/>
        </w:rPr>
        <w:t xml:space="preserve">  </w:t>
      </w:r>
      <w:r w:rsidR="00B66A88">
        <w:rPr>
          <w:rFonts w:ascii="Arial" w:hAnsi="Arial"/>
        </w:rPr>
        <w:t>We anticipate that a number of factors have contributed to this change</w:t>
      </w:r>
      <w:r w:rsidR="00D571E0" w:rsidRPr="00D41512">
        <w:rPr>
          <w:rFonts w:ascii="Arial" w:hAnsi="Arial"/>
        </w:rPr>
        <w:t xml:space="preserve">: The Gender Pay Equity Initiative has emphasized the importance of salary increases, and we have been working with Faculties to improve their merit processes, as summarized in the </w:t>
      </w:r>
      <w:hyperlink r:id="rId12" w:history="1">
        <w:r w:rsidR="0099665A" w:rsidRPr="0099665A">
          <w:rPr>
            <w:rStyle w:val="Hyperlink"/>
            <w:rFonts w:ascii="Arial" w:hAnsi="Arial"/>
          </w:rPr>
          <w:t>merit review guidelines</w:t>
        </w:r>
      </w:hyperlink>
      <w:r w:rsidR="00D571E0" w:rsidRPr="00D41512">
        <w:rPr>
          <w:rFonts w:ascii="Arial" w:hAnsi="Arial"/>
        </w:rPr>
        <w:t xml:space="preserve">: </w:t>
      </w:r>
    </w:p>
    <w:p w:rsidR="00E12608" w:rsidRPr="00D41512" w:rsidRDefault="00D21AE5">
      <w:pPr>
        <w:rPr>
          <w:rFonts w:ascii="Arial" w:hAnsi="Arial"/>
        </w:rPr>
      </w:pPr>
      <w:r>
        <w:rPr>
          <w:rFonts w:ascii="Arial" w:hAnsi="Arial"/>
        </w:rPr>
        <w:t xml:space="preserve">  </w:t>
      </w:r>
      <w:r w:rsidR="00030807" w:rsidRPr="00D41512">
        <w:rPr>
          <w:rFonts w:ascii="Arial" w:hAnsi="Arial"/>
        </w:rPr>
        <w:t>We have seen simi</w:t>
      </w:r>
      <w:r w:rsidR="00D571E0" w:rsidRPr="00D41512">
        <w:rPr>
          <w:rFonts w:ascii="Arial" w:hAnsi="Arial"/>
        </w:rPr>
        <w:t xml:space="preserve">lar trends for </w:t>
      </w:r>
      <w:r>
        <w:rPr>
          <w:rFonts w:ascii="Arial" w:hAnsi="Arial"/>
        </w:rPr>
        <w:t>PSA awards</w:t>
      </w:r>
      <w:r w:rsidR="00D571E0" w:rsidRPr="00D41512">
        <w:rPr>
          <w:rFonts w:ascii="Arial" w:hAnsi="Arial"/>
        </w:rPr>
        <w:t>, although there has been more variability.</w:t>
      </w:r>
      <w:r>
        <w:rPr>
          <w:rFonts w:ascii="Arial" w:hAnsi="Arial"/>
        </w:rPr>
        <w:t xml:space="preserve"> </w:t>
      </w:r>
      <w:r w:rsidR="00030807" w:rsidRPr="00D41512">
        <w:rPr>
          <w:rFonts w:ascii="Arial" w:hAnsi="Arial"/>
        </w:rPr>
        <w:t xml:space="preserve">In contrast, </w:t>
      </w:r>
      <w:r w:rsidR="0099665A">
        <w:rPr>
          <w:rFonts w:ascii="Arial" w:hAnsi="Arial"/>
        </w:rPr>
        <w:t>Retention awards in 2012-</w:t>
      </w:r>
      <w:r w:rsidR="00D571E0" w:rsidRPr="00D41512">
        <w:rPr>
          <w:rFonts w:ascii="Arial" w:hAnsi="Arial"/>
        </w:rPr>
        <w:t>2013 were awarded to women faculty at a level well</w:t>
      </w:r>
      <w:r w:rsidR="00E12608" w:rsidRPr="00D41512">
        <w:rPr>
          <w:rFonts w:ascii="Arial" w:hAnsi="Arial"/>
        </w:rPr>
        <w:t xml:space="preserve"> below their representation in 6</w:t>
      </w:r>
      <w:r w:rsidR="0099665A">
        <w:rPr>
          <w:rFonts w:ascii="Arial" w:hAnsi="Arial"/>
        </w:rPr>
        <w:t xml:space="preserve"> out of </w:t>
      </w:r>
      <w:r w:rsidR="00D571E0" w:rsidRPr="00D41512">
        <w:rPr>
          <w:rFonts w:ascii="Arial" w:hAnsi="Arial"/>
        </w:rPr>
        <w:t xml:space="preserve">the 8 Faculties giving these awards.   </w:t>
      </w:r>
      <w:r w:rsidR="00E12608" w:rsidRPr="00D41512">
        <w:rPr>
          <w:rFonts w:ascii="Arial" w:hAnsi="Arial"/>
        </w:rPr>
        <w:t>In 2007-2013, this result was observed in 6 out of 10 Faculties.</w:t>
      </w:r>
    </w:p>
    <w:p w:rsidR="00DA74FD" w:rsidRPr="00D41512" w:rsidRDefault="00DA74FD">
      <w:pPr>
        <w:rPr>
          <w:rFonts w:ascii="Arial" w:hAnsi="Arial"/>
        </w:rPr>
      </w:pPr>
    </w:p>
    <w:p w:rsidR="00030807" w:rsidRPr="00D41512" w:rsidRDefault="00DA74FD">
      <w:pPr>
        <w:rPr>
          <w:rFonts w:ascii="Arial" w:hAnsi="Arial"/>
          <w:b/>
          <w:sz w:val="28"/>
        </w:rPr>
      </w:pPr>
      <w:r w:rsidRPr="00D41512">
        <w:rPr>
          <w:rFonts w:ascii="Arial" w:hAnsi="Arial"/>
          <w:b/>
          <w:sz w:val="28"/>
        </w:rPr>
        <w:t>TENURE AND PROMOTION:</w:t>
      </w:r>
    </w:p>
    <w:p w:rsidR="00030807" w:rsidRPr="00D41512" w:rsidRDefault="00030807">
      <w:pPr>
        <w:rPr>
          <w:rFonts w:ascii="Arial" w:hAnsi="Arial"/>
        </w:rPr>
      </w:pPr>
    </w:p>
    <w:p w:rsidR="001764AC" w:rsidRPr="00D41512" w:rsidRDefault="00D21AE5">
      <w:pPr>
        <w:rPr>
          <w:rFonts w:ascii="Arial" w:hAnsi="Arial"/>
        </w:rPr>
      </w:pPr>
      <w:r>
        <w:rPr>
          <w:rFonts w:ascii="Arial" w:hAnsi="Arial"/>
        </w:rPr>
        <w:t xml:space="preserve">  </w:t>
      </w:r>
      <w:r w:rsidR="00261F2E">
        <w:rPr>
          <w:rFonts w:ascii="Arial" w:hAnsi="Arial"/>
        </w:rPr>
        <w:t>From</w:t>
      </w:r>
      <w:r w:rsidR="00030807" w:rsidRPr="00D41512">
        <w:rPr>
          <w:rFonts w:ascii="Arial" w:hAnsi="Arial"/>
        </w:rPr>
        <w:t xml:space="preserve"> 2012</w:t>
      </w:r>
      <w:r w:rsidR="00261F2E">
        <w:rPr>
          <w:rFonts w:ascii="Arial" w:hAnsi="Arial"/>
        </w:rPr>
        <w:t xml:space="preserve"> data</w:t>
      </w:r>
      <w:r w:rsidR="00030807" w:rsidRPr="00D41512">
        <w:rPr>
          <w:rFonts w:ascii="Arial" w:hAnsi="Arial"/>
        </w:rPr>
        <w:t xml:space="preserve">, we </w:t>
      </w:r>
      <w:r w:rsidR="001764AC" w:rsidRPr="00D41512">
        <w:rPr>
          <w:rFonts w:ascii="Arial" w:hAnsi="Arial"/>
        </w:rPr>
        <w:t xml:space="preserve">found that the time from Asst to Assoc professor was longer for women faculty, and the difference between men and women increased for promotion from Assoc to Full Professor.  </w:t>
      </w:r>
      <w:r w:rsidR="009E0659">
        <w:rPr>
          <w:rFonts w:ascii="Arial" w:hAnsi="Arial"/>
        </w:rPr>
        <w:t>Part of the difference is accounted for in maternity/</w:t>
      </w:r>
      <w:r w:rsidR="001764AC" w:rsidRPr="00D41512">
        <w:rPr>
          <w:rFonts w:ascii="Arial" w:hAnsi="Arial"/>
        </w:rPr>
        <w:t>parental/adoptive leaves taken, mainly for junior faculty. We are working with HR to produce a reliable data set to track this progress regularly.</w:t>
      </w:r>
    </w:p>
    <w:p w:rsidR="00135F50" w:rsidRDefault="00D21AE5">
      <w:pPr>
        <w:rPr>
          <w:rFonts w:ascii="Arial" w:hAnsi="Arial"/>
        </w:rPr>
      </w:pPr>
      <w:r>
        <w:rPr>
          <w:rFonts w:ascii="Arial" w:hAnsi="Arial"/>
        </w:rPr>
        <w:t xml:space="preserve">  </w:t>
      </w:r>
      <w:r w:rsidR="001764AC" w:rsidRPr="00D41512">
        <w:rPr>
          <w:rFonts w:ascii="Arial" w:hAnsi="Arial"/>
        </w:rPr>
        <w:t>In 2014, together with the chair of SAC we met with the Committee of Deans</w:t>
      </w:r>
      <w:r w:rsidR="0045403B" w:rsidRPr="00D41512">
        <w:rPr>
          <w:rFonts w:ascii="Arial" w:hAnsi="Arial"/>
        </w:rPr>
        <w:t>, to address problems in SAC coverage and in file preparation at the department level. Recent efforts have improved the recruitment for SAC, but we continue to find that not enough departments are sufficiently engaged in workshops and other support for improving their tenure and promotion processes.</w:t>
      </w:r>
      <w:r w:rsidR="00D41512" w:rsidRPr="00D41512">
        <w:rPr>
          <w:rFonts w:ascii="Arial" w:hAnsi="Arial"/>
        </w:rPr>
        <w:t xml:space="preserve">  We are working with </w:t>
      </w:r>
      <w:r w:rsidR="009E0659">
        <w:rPr>
          <w:rFonts w:ascii="Arial" w:hAnsi="Arial"/>
        </w:rPr>
        <w:t>Dean’s offices</w:t>
      </w:r>
      <w:r w:rsidR="00D41512" w:rsidRPr="00D41512">
        <w:rPr>
          <w:rFonts w:ascii="Arial" w:hAnsi="Arial"/>
        </w:rPr>
        <w:t xml:space="preserve"> to increase participation and awareness, and to improve processes.</w:t>
      </w:r>
    </w:p>
    <w:p w:rsidR="00DA74FD" w:rsidRPr="00D41512" w:rsidRDefault="00DA74FD">
      <w:pPr>
        <w:rPr>
          <w:rFonts w:ascii="Arial" w:hAnsi="Arial"/>
        </w:rPr>
      </w:pPr>
    </w:p>
    <w:p w:rsidR="0045403B" w:rsidRPr="00D41512" w:rsidRDefault="00DA74FD">
      <w:pPr>
        <w:rPr>
          <w:rFonts w:ascii="Arial" w:hAnsi="Arial"/>
          <w:b/>
          <w:sz w:val="28"/>
        </w:rPr>
      </w:pPr>
      <w:r w:rsidRPr="00D41512">
        <w:rPr>
          <w:rFonts w:ascii="Arial" w:hAnsi="Arial"/>
          <w:b/>
          <w:sz w:val="28"/>
        </w:rPr>
        <w:t>AWARDS:</w:t>
      </w:r>
    </w:p>
    <w:p w:rsidR="0045403B" w:rsidRPr="00D41512" w:rsidRDefault="0045403B">
      <w:pPr>
        <w:rPr>
          <w:rFonts w:ascii="Arial" w:hAnsi="Arial"/>
        </w:rPr>
      </w:pPr>
    </w:p>
    <w:p w:rsidR="00E12608" w:rsidRPr="00D41512" w:rsidRDefault="00D21AE5">
      <w:pPr>
        <w:rPr>
          <w:rFonts w:ascii="Arial" w:hAnsi="Arial"/>
        </w:rPr>
      </w:pPr>
      <w:r>
        <w:rPr>
          <w:rFonts w:ascii="Arial" w:hAnsi="Arial"/>
        </w:rPr>
        <w:t xml:space="preserve">  </w:t>
      </w:r>
      <w:r w:rsidR="0045403B" w:rsidRPr="00D41512">
        <w:rPr>
          <w:rFonts w:ascii="Arial" w:hAnsi="Arial"/>
        </w:rPr>
        <w:t>In 2014</w:t>
      </w:r>
      <w:r w:rsidR="00C47DA8" w:rsidRPr="00D41512">
        <w:rPr>
          <w:rFonts w:ascii="Arial" w:hAnsi="Arial"/>
        </w:rPr>
        <w:t xml:space="preserve">, the VPRI </w:t>
      </w:r>
      <w:r w:rsidR="00E12608" w:rsidRPr="00D41512">
        <w:rPr>
          <w:rFonts w:ascii="Arial" w:hAnsi="Arial"/>
        </w:rPr>
        <w:t>collected data</w:t>
      </w:r>
      <w:r w:rsidR="00C47DA8" w:rsidRPr="00D41512">
        <w:rPr>
          <w:rFonts w:ascii="Arial" w:hAnsi="Arial"/>
        </w:rPr>
        <w:t xml:space="preserve"> on nominations and success rates of internal UBC research awards.  The</w:t>
      </w:r>
      <w:r w:rsidR="00E12608" w:rsidRPr="00D41512">
        <w:rPr>
          <w:rFonts w:ascii="Arial" w:hAnsi="Arial"/>
        </w:rPr>
        <w:t xml:space="preserve"> % of women faculty nominees/applications and winners has dropped steadily over the last 4-5 years, </w:t>
      </w:r>
      <w:r w:rsidR="009E0659">
        <w:rPr>
          <w:rFonts w:ascii="Arial" w:hAnsi="Arial"/>
        </w:rPr>
        <w:t xml:space="preserve">to levels </w:t>
      </w:r>
      <w:r w:rsidR="00E12608" w:rsidRPr="00D41512">
        <w:rPr>
          <w:rFonts w:ascii="Arial" w:hAnsi="Arial"/>
        </w:rPr>
        <w:t>well below that of the representation of women faculty at UBC.</w:t>
      </w:r>
    </w:p>
    <w:p w:rsidR="00C47DA8" w:rsidRPr="00D41512" w:rsidRDefault="00D21AE5">
      <w:pPr>
        <w:rPr>
          <w:rFonts w:ascii="Arial" w:hAnsi="Arial"/>
        </w:rPr>
      </w:pPr>
      <w:r>
        <w:rPr>
          <w:rFonts w:ascii="Arial" w:hAnsi="Arial"/>
        </w:rPr>
        <w:t xml:space="preserve"> </w:t>
      </w:r>
      <w:r w:rsidR="00E12608" w:rsidRPr="00D41512">
        <w:rPr>
          <w:rFonts w:ascii="Arial" w:hAnsi="Arial"/>
        </w:rPr>
        <w:t>This data was presented to the Associate Deans and VPRI committee, together with data on nominations/applications by department.  A</w:t>
      </w:r>
      <w:r w:rsidR="00D41512">
        <w:rPr>
          <w:rFonts w:ascii="Arial" w:hAnsi="Arial"/>
        </w:rPr>
        <w:t xml:space="preserve"> consistent</w:t>
      </w:r>
      <w:r w:rsidR="00E12608" w:rsidRPr="00D41512">
        <w:rPr>
          <w:rFonts w:ascii="Arial" w:hAnsi="Arial"/>
        </w:rPr>
        <w:t xml:space="preserve"> follow-up plan has yet to be defined.</w:t>
      </w:r>
      <w:r w:rsidR="00E92833">
        <w:rPr>
          <w:rFonts w:ascii="Arial" w:hAnsi="Arial"/>
        </w:rPr>
        <w:t xml:space="preserve"> Data on external awards also needs to be tracked.</w:t>
      </w:r>
    </w:p>
    <w:p w:rsidR="00DA74FD" w:rsidRPr="00D41512" w:rsidRDefault="00DA74FD">
      <w:pPr>
        <w:rPr>
          <w:rFonts w:ascii="Arial" w:hAnsi="Arial"/>
        </w:rPr>
      </w:pPr>
    </w:p>
    <w:p w:rsidR="00E12608" w:rsidRPr="00D41512" w:rsidRDefault="00DA74FD">
      <w:pPr>
        <w:rPr>
          <w:rFonts w:ascii="Arial" w:hAnsi="Arial"/>
          <w:b/>
          <w:sz w:val="28"/>
        </w:rPr>
      </w:pPr>
      <w:r w:rsidRPr="00D41512">
        <w:rPr>
          <w:rFonts w:ascii="Arial" w:hAnsi="Arial"/>
          <w:b/>
          <w:sz w:val="28"/>
        </w:rPr>
        <w:t>EXTERNAL REVIEWS:</w:t>
      </w:r>
    </w:p>
    <w:p w:rsidR="00E12608" w:rsidRPr="00D41512" w:rsidRDefault="00E12608">
      <w:pPr>
        <w:rPr>
          <w:rFonts w:ascii="Arial" w:hAnsi="Arial"/>
        </w:rPr>
      </w:pPr>
    </w:p>
    <w:p w:rsidR="00E12608" w:rsidRPr="00D41512" w:rsidRDefault="00DD29AD">
      <w:pPr>
        <w:rPr>
          <w:rFonts w:ascii="Arial" w:hAnsi="Arial"/>
        </w:rPr>
      </w:pPr>
      <w:r>
        <w:rPr>
          <w:rFonts w:ascii="Arial" w:hAnsi="Arial"/>
        </w:rPr>
        <w:t xml:space="preserve">  </w:t>
      </w:r>
      <w:r w:rsidR="00E12608" w:rsidRPr="00D41512">
        <w:rPr>
          <w:rFonts w:ascii="Arial" w:hAnsi="Arial"/>
        </w:rPr>
        <w:t xml:space="preserve">In 2013-2014, the UBC guidelines for academic external reviews were updated, and the large Faculties updated their Terms of Reference documents and self-study guidelines for departmental reviews.  </w:t>
      </w:r>
      <w:r w:rsidR="00E92833">
        <w:rPr>
          <w:rFonts w:ascii="Arial" w:hAnsi="Arial"/>
        </w:rPr>
        <w:t>There is now more consistency</w:t>
      </w:r>
      <w:r w:rsidR="00E12608" w:rsidRPr="00D41512">
        <w:rPr>
          <w:rFonts w:ascii="Arial" w:hAnsi="Arial"/>
        </w:rPr>
        <w:t xml:space="preserve"> across UBC, with the Faculty Review Terms of Reference also being updated.</w:t>
      </w:r>
      <w:r w:rsidR="00E92833">
        <w:rPr>
          <w:rFonts w:ascii="Arial" w:hAnsi="Arial"/>
        </w:rPr>
        <w:t xml:space="preserve">  This appears to have improved the quality of the review teams’ reports.</w:t>
      </w:r>
    </w:p>
    <w:p w:rsidR="00D444AD" w:rsidRDefault="00DD29AD">
      <w:pPr>
        <w:rPr>
          <w:rFonts w:ascii="Arial" w:hAnsi="Arial"/>
        </w:rPr>
      </w:pPr>
      <w:r>
        <w:rPr>
          <w:rFonts w:ascii="Arial" w:hAnsi="Arial"/>
        </w:rPr>
        <w:t xml:space="preserve">  </w:t>
      </w:r>
      <w:r w:rsidR="00E12608" w:rsidRPr="00D41512">
        <w:rPr>
          <w:rFonts w:ascii="Arial" w:hAnsi="Arial"/>
        </w:rPr>
        <w:t>There remains a considerable gap in terms of follow-up.  Results of the reviews are reported to Senate, but there is no overall plan for follow-up to ensure that the recommendations and response are incorporated into future activities.</w:t>
      </w:r>
    </w:p>
    <w:p w:rsidR="00BB18C6" w:rsidRDefault="00BB18C6">
      <w:pPr>
        <w:rPr>
          <w:rFonts w:ascii="Arial" w:hAnsi="Arial"/>
        </w:rPr>
      </w:pPr>
    </w:p>
    <w:p w:rsidR="00BB18C6" w:rsidRDefault="00BB18C6" w:rsidP="00BB18C6">
      <w:pPr>
        <w:rPr>
          <w:rFonts w:ascii="Arial" w:hAnsi="Arial"/>
          <w:b/>
          <w:sz w:val="28"/>
        </w:rPr>
      </w:pPr>
      <w:r>
        <w:rPr>
          <w:rFonts w:ascii="Arial" w:hAnsi="Arial"/>
          <w:b/>
          <w:sz w:val="28"/>
        </w:rPr>
        <w:t>MENTORING</w:t>
      </w:r>
      <w:r w:rsidRPr="00D41512">
        <w:rPr>
          <w:rFonts w:ascii="Arial" w:hAnsi="Arial"/>
          <w:b/>
          <w:sz w:val="28"/>
        </w:rPr>
        <w:t>:</w:t>
      </w:r>
    </w:p>
    <w:p w:rsidR="00BB18C6" w:rsidRDefault="00BB18C6" w:rsidP="00BB18C6">
      <w:pPr>
        <w:rPr>
          <w:rFonts w:ascii="Arial" w:hAnsi="Arial"/>
          <w:b/>
          <w:sz w:val="28"/>
        </w:rPr>
      </w:pPr>
    </w:p>
    <w:p w:rsidR="00BB18C6" w:rsidRPr="00D21AE5" w:rsidRDefault="00DD29AD" w:rsidP="00BB18C6">
      <w:pPr>
        <w:rPr>
          <w:rFonts w:ascii="Arial" w:hAnsi="Arial"/>
          <w:sz w:val="28"/>
        </w:rPr>
      </w:pPr>
      <w:r>
        <w:rPr>
          <w:rFonts w:ascii="Arial" w:hAnsi="Arial"/>
        </w:rPr>
        <w:t xml:space="preserve"> I</w:t>
      </w:r>
      <w:r w:rsidR="00BB18C6" w:rsidRPr="00D21AE5">
        <w:rPr>
          <w:rFonts w:ascii="Arial" w:hAnsi="Arial"/>
        </w:rPr>
        <w:t>n 2014</w:t>
      </w:r>
      <w:r w:rsidR="00D21AE5" w:rsidRPr="00D21AE5">
        <w:rPr>
          <w:rFonts w:ascii="Arial" w:hAnsi="Arial"/>
        </w:rPr>
        <w:t>, the UBC</w:t>
      </w:r>
      <w:r w:rsidR="00D21AE5">
        <w:rPr>
          <w:rFonts w:ascii="Arial" w:hAnsi="Arial"/>
        </w:rPr>
        <w:t>-V</w:t>
      </w:r>
      <w:r w:rsidR="00D21AE5" w:rsidRPr="00D21AE5">
        <w:rPr>
          <w:rFonts w:ascii="Arial" w:hAnsi="Arial"/>
        </w:rPr>
        <w:t>-wide mentoring program was expanded to arrange mentors for 50 junior women faculty and</w:t>
      </w:r>
      <w:r w:rsidR="00E92833">
        <w:rPr>
          <w:rFonts w:ascii="Arial" w:hAnsi="Arial"/>
        </w:rPr>
        <w:t xml:space="preserve"> 20 mid-career and senior faculty</w:t>
      </w:r>
      <w:r w:rsidR="00D21AE5" w:rsidRPr="00D21AE5">
        <w:rPr>
          <w:rFonts w:ascii="Arial" w:hAnsi="Arial"/>
          <w:sz w:val="28"/>
        </w:rPr>
        <w:t>.</w:t>
      </w:r>
      <w:r w:rsidR="00D21AE5">
        <w:rPr>
          <w:rFonts w:ascii="Arial" w:hAnsi="Arial"/>
          <w:sz w:val="28"/>
        </w:rPr>
        <w:t xml:space="preserve">  </w:t>
      </w:r>
      <w:r w:rsidR="00D21AE5">
        <w:rPr>
          <w:rFonts w:ascii="Arial" w:hAnsi="Arial"/>
        </w:rPr>
        <w:t xml:space="preserve">We </w:t>
      </w:r>
      <w:r w:rsidR="00D21AE5" w:rsidRPr="00D21AE5">
        <w:rPr>
          <w:rFonts w:ascii="Arial" w:hAnsi="Arial"/>
        </w:rPr>
        <w:t>are also working with Faculties to improve th</w:t>
      </w:r>
      <w:r w:rsidR="00D21AE5">
        <w:rPr>
          <w:rFonts w:ascii="Arial" w:hAnsi="Arial"/>
        </w:rPr>
        <w:t xml:space="preserve">eir mentoring programs at Faculty and department levels. </w:t>
      </w:r>
    </w:p>
    <w:p w:rsidR="00D444AD" w:rsidRDefault="00D444AD">
      <w:pPr>
        <w:rPr>
          <w:rFonts w:ascii="Arial" w:hAnsi="Arial"/>
        </w:rPr>
      </w:pPr>
    </w:p>
    <w:p w:rsidR="00D444AD" w:rsidRPr="001F329A" w:rsidRDefault="00D444AD" w:rsidP="00D444AD">
      <w:pPr>
        <w:rPr>
          <w:rFonts w:ascii="Arial" w:hAnsi="Arial"/>
          <w:b/>
          <w:sz w:val="28"/>
        </w:rPr>
      </w:pPr>
      <w:r w:rsidRPr="001F329A">
        <w:rPr>
          <w:rFonts w:ascii="Arial" w:hAnsi="Arial"/>
          <w:b/>
          <w:sz w:val="28"/>
        </w:rPr>
        <w:t xml:space="preserve">FACULTY </w:t>
      </w:r>
      <w:r>
        <w:rPr>
          <w:rFonts w:ascii="Arial" w:hAnsi="Arial"/>
          <w:b/>
          <w:sz w:val="28"/>
        </w:rPr>
        <w:t>DATA</w:t>
      </w:r>
      <w:r w:rsidRPr="001F329A">
        <w:rPr>
          <w:rFonts w:ascii="Arial" w:hAnsi="Arial"/>
          <w:b/>
          <w:sz w:val="28"/>
        </w:rPr>
        <w:t>:</w:t>
      </w:r>
    </w:p>
    <w:p w:rsidR="00D444AD" w:rsidRDefault="00D444AD">
      <w:pPr>
        <w:rPr>
          <w:rFonts w:ascii="Arial" w:hAnsi="Arial"/>
        </w:rPr>
      </w:pPr>
    </w:p>
    <w:p w:rsidR="000869B4" w:rsidRPr="00D41512" w:rsidRDefault="00DD29AD">
      <w:pPr>
        <w:rPr>
          <w:rFonts w:ascii="Arial" w:hAnsi="Arial"/>
        </w:rPr>
      </w:pPr>
      <w:r>
        <w:rPr>
          <w:rFonts w:ascii="Arial" w:hAnsi="Arial"/>
        </w:rPr>
        <w:t xml:space="preserve">  </w:t>
      </w:r>
      <w:r w:rsidR="00D444AD">
        <w:rPr>
          <w:rFonts w:ascii="Arial" w:hAnsi="Arial"/>
        </w:rPr>
        <w:t>Obtaining reliable faculty data continues to be a challenge, particularly in collecting data that tracks faculty career progress. This is partly due to the fact that this data has to be</w:t>
      </w:r>
      <w:r w:rsidR="00E92833">
        <w:rPr>
          <w:rFonts w:ascii="Arial" w:hAnsi="Arial"/>
        </w:rPr>
        <w:t xml:space="preserve"> extracted from HR/payroll data, which is not designed for this type of tracking.</w:t>
      </w:r>
      <w:r w:rsidR="00D444AD">
        <w:rPr>
          <w:rFonts w:ascii="Arial" w:hAnsi="Arial"/>
        </w:rPr>
        <w:t xml:space="preserve">  </w:t>
      </w:r>
      <w:r w:rsidR="00BB18C6">
        <w:rPr>
          <w:rFonts w:ascii="Arial" w:hAnsi="Arial"/>
        </w:rPr>
        <w:t>Starting at the end of</w:t>
      </w:r>
      <w:r w:rsidR="00D444AD">
        <w:rPr>
          <w:rFonts w:ascii="Arial" w:hAnsi="Arial"/>
        </w:rPr>
        <w:t xml:space="preserve"> </w:t>
      </w:r>
      <w:r w:rsidR="00BB18C6">
        <w:rPr>
          <w:rFonts w:ascii="Arial" w:hAnsi="Arial"/>
        </w:rPr>
        <w:t xml:space="preserve">November, we </w:t>
      </w:r>
      <w:r w:rsidR="00E92833">
        <w:rPr>
          <w:rFonts w:ascii="Arial" w:hAnsi="Arial"/>
        </w:rPr>
        <w:t>are using</w:t>
      </w:r>
      <w:r w:rsidR="00BB18C6">
        <w:rPr>
          <w:rFonts w:ascii="Arial" w:hAnsi="Arial"/>
        </w:rPr>
        <w:t xml:space="preserve"> part of the Women in Leadership funding to focus .5 FTE in HR to improve this</w:t>
      </w:r>
      <w:r w:rsidR="00E92833">
        <w:rPr>
          <w:rFonts w:ascii="Arial" w:hAnsi="Arial"/>
        </w:rPr>
        <w:t xml:space="preserve"> data</w:t>
      </w:r>
      <w:r w:rsidR="00BB18C6">
        <w:rPr>
          <w:rFonts w:ascii="Arial" w:hAnsi="Arial"/>
        </w:rPr>
        <w:t xml:space="preserve"> collection.</w:t>
      </w:r>
    </w:p>
    <w:sectPr w:rsidR="000869B4" w:rsidRPr="00D41512" w:rsidSect="00135F50">
      <w:pgSz w:w="15842" w:h="12242" w:orient="landscape"/>
      <w:pgMar w:top="1474" w:right="1418" w:bottom="147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599"/>
    <w:rsid w:val="00030807"/>
    <w:rsid w:val="000869B4"/>
    <w:rsid w:val="00100E3F"/>
    <w:rsid w:val="00135F50"/>
    <w:rsid w:val="001764AC"/>
    <w:rsid w:val="00194D7F"/>
    <w:rsid w:val="001B5A89"/>
    <w:rsid w:val="001F329A"/>
    <w:rsid w:val="00254A47"/>
    <w:rsid w:val="00261F2E"/>
    <w:rsid w:val="00277930"/>
    <w:rsid w:val="0045403B"/>
    <w:rsid w:val="005A2049"/>
    <w:rsid w:val="005B0A97"/>
    <w:rsid w:val="006C55A6"/>
    <w:rsid w:val="006D1D62"/>
    <w:rsid w:val="00750599"/>
    <w:rsid w:val="00812BAC"/>
    <w:rsid w:val="009233EF"/>
    <w:rsid w:val="0094758F"/>
    <w:rsid w:val="0099665A"/>
    <w:rsid w:val="009E0659"/>
    <w:rsid w:val="00A225CD"/>
    <w:rsid w:val="00A860A0"/>
    <w:rsid w:val="00B50EE2"/>
    <w:rsid w:val="00B66A88"/>
    <w:rsid w:val="00BB18C6"/>
    <w:rsid w:val="00C47DA8"/>
    <w:rsid w:val="00D21AE5"/>
    <w:rsid w:val="00D41512"/>
    <w:rsid w:val="00D444AD"/>
    <w:rsid w:val="00D571E0"/>
    <w:rsid w:val="00DA74FD"/>
    <w:rsid w:val="00DD29AD"/>
    <w:rsid w:val="00E12608"/>
    <w:rsid w:val="00E92833"/>
    <w:rsid w:val="00F171B8"/>
    <w:rsid w:val="00FE3EEA"/>
    <w:rsid w:val="00FF372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65A"/>
    <w:rPr>
      <w:color w:val="0000FF" w:themeColor="hyperlink"/>
      <w:u w:val="single"/>
    </w:rPr>
  </w:style>
  <w:style w:type="paragraph" w:styleId="BalloonText">
    <w:name w:val="Balloon Text"/>
    <w:basedOn w:val="Normal"/>
    <w:link w:val="BalloonTextChar"/>
    <w:rsid w:val="0099665A"/>
    <w:rPr>
      <w:rFonts w:ascii="Lucida Grande" w:hAnsi="Lucida Grande" w:cs="Lucida Grande"/>
      <w:sz w:val="18"/>
      <w:szCs w:val="18"/>
    </w:rPr>
  </w:style>
  <w:style w:type="character" w:customStyle="1" w:styleId="BalloonTextChar">
    <w:name w:val="Balloon Text Char"/>
    <w:basedOn w:val="DefaultParagraphFont"/>
    <w:link w:val="BalloonText"/>
    <w:rsid w:val="0099665A"/>
    <w:rPr>
      <w:rFonts w:ascii="Lucida Grande" w:hAnsi="Lucida Grande" w:cs="Lucida Grande"/>
      <w:sz w:val="18"/>
      <w:szCs w:val="18"/>
    </w:rPr>
  </w:style>
  <w:style w:type="character" w:styleId="FollowedHyperlink">
    <w:name w:val="FollowedHyperlink"/>
    <w:basedOn w:val="DefaultParagraphFont"/>
    <w:rsid w:val="00B50EE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665A"/>
    <w:rPr>
      <w:color w:val="0000FF" w:themeColor="hyperlink"/>
      <w:u w:val="single"/>
    </w:rPr>
  </w:style>
  <w:style w:type="paragraph" w:styleId="BalloonText">
    <w:name w:val="Balloon Text"/>
    <w:basedOn w:val="Normal"/>
    <w:link w:val="BalloonTextChar"/>
    <w:rsid w:val="0099665A"/>
    <w:rPr>
      <w:rFonts w:ascii="Lucida Grande" w:hAnsi="Lucida Grande" w:cs="Lucida Grande"/>
      <w:sz w:val="18"/>
      <w:szCs w:val="18"/>
    </w:rPr>
  </w:style>
  <w:style w:type="character" w:customStyle="1" w:styleId="BalloonTextChar">
    <w:name w:val="Balloon Text Char"/>
    <w:basedOn w:val="DefaultParagraphFont"/>
    <w:link w:val="BalloonText"/>
    <w:rsid w:val="0099665A"/>
    <w:rPr>
      <w:rFonts w:ascii="Lucida Grande" w:hAnsi="Lucida Grande" w:cs="Lucida Grande"/>
      <w:sz w:val="18"/>
      <w:szCs w:val="18"/>
    </w:rPr>
  </w:style>
  <w:style w:type="character" w:styleId="FollowedHyperlink">
    <w:name w:val="FollowedHyperlink"/>
    <w:basedOn w:val="DefaultParagraphFont"/>
    <w:rsid w:val="00B50E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hart" Target="charts/chart1.xml"/><Relationship Id="rId12" Type="http://schemas.openxmlformats.org/officeDocument/2006/relationships/hyperlink" Target="http://vpacademic.ubc.ca/faculty-equity-and-diversity-initiatives/salary_increases/?login"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vpacademic.ubc.ca/faculty-equity-and-diversity-initiatives/resources-for-hiring-committees/" TargetMode="External"/><Relationship Id="rId6" Type="http://schemas.openxmlformats.org/officeDocument/2006/relationships/hyperlink" Target="http://vpacademic.ubc.ca/dual-careers-at-ubc" TargetMode="External"/><Relationship Id="rId7" Type="http://schemas.openxmlformats.org/officeDocument/2006/relationships/hyperlink" Target="http://vpacademic.ubc.ca/files/2012/11/childcare_external_Sep2014.pdf" TargetMode="External"/><Relationship Id="rId8" Type="http://schemas.openxmlformats.org/officeDocument/2006/relationships/hyperlink" Target="http://planning.ubc.ca/vancouver/planning/policies-plans/faculty-home-ownership-program-ubcs-vancouver-campus-welcome" TargetMode="External"/><Relationship Id="rId9" Type="http://schemas.openxmlformats.org/officeDocument/2006/relationships/hyperlink" Target="http://vpacademic.ubc.ca/faculty-equity-and-diversity-initiatives/gender-and-diversity-in-leadership/" TargetMode="External"/><Relationship Id="rId10" Type="http://schemas.openxmlformats.org/officeDocument/2006/relationships/hyperlink" Target="http://vpacademic.ubc.ca/faculty-equity-and-diversity-initiatives/gender-and-diversity-in-leadership/"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Imac%20HD:Users:rachel:Library:Mail%20Downloads:Figure%205b%20New%20TT%20apps%20by%20gender%20UBCV%20UBCO.xlsx" TargetMode="External"/><Relationship Id="rId2"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pPr>
            <a:r>
              <a:rPr lang="en-US"/>
              <a:t>New Appointments of Tenure-Stream Faculty Positions</a:t>
            </a:r>
          </a:p>
        </c:rich>
      </c:tx>
      <c:layout>
        <c:manualLayout>
          <c:xMode val="edge"/>
          <c:yMode val="edge"/>
          <c:x val="0.135009107468124"/>
          <c:y val="0.0212061011789841"/>
        </c:manualLayout>
      </c:layout>
      <c:overlay val="0"/>
    </c:title>
    <c:autoTitleDeleted val="0"/>
    <c:plotArea>
      <c:layout/>
      <c:lineChart>
        <c:grouping val="standard"/>
        <c:varyColors val="0"/>
        <c:ser>
          <c:idx val="0"/>
          <c:order val="0"/>
          <c:tx>
            <c:strRef>
              <c:f>Sheet1!$F$2</c:f>
              <c:strCache>
                <c:ptCount val="1"/>
                <c:pt idx="0">
                  <c:v>%Women UBCV</c:v>
                </c:pt>
              </c:strCache>
            </c:strRef>
          </c:tx>
          <c:marker>
            <c:symbol val="none"/>
          </c:marker>
          <c:cat>
            <c:numRef>
              <c:f>Sheet1!$A$3:$A$30</c:f>
              <c:numCache>
                <c:formatCode>General</c:formatCode>
                <c:ptCount val="28"/>
                <c:pt idx="0">
                  <c:v>1986.0</c:v>
                </c:pt>
                <c:pt idx="1">
                  <c:v>1987.0</c:v>
                </c:pt>
                <c:pt idx="2">
                  <c:v>1988.0</c:v>
                </c:pt>
                <c:pt idx="3">
                  <c:v>1989.0</c:v>
                </c:pt>
                <c:pt idx="4">
                  <c:v>1990.0</c:v>
                </c:pt>
                <c:pt idx="5">
                  <c:v>1991.0</c:v>
                </c:pt>
                <c:pt idx="6">
                  <c:v>1992.0</c:v>
                </c:pt>
                <c:pt idx="7">
                  <c:v>1993.0</c:v>
                </c:pt>
                <c:pt idx="8">
                  <c:v>1994.0</c:v>
                </c:pt>
                <c:pt idx="9">
                  <c:v>1995.0</c:v>
                </c:pt>
                <c:pt idx="10">
                  <c:v>1996.0</c:v>
                </c:pt>
                <c:pt idx="11">
                  <c:v>1997.0</c:v>
                </c:pt>
                <c:pt idx="12">
                  <c:v>1998.0</c:v>
                </c:pt>
                <c:pt idx="13">
                  <c:v>1999.0</c:v>
                </c:pt>
                <c:pt idx="14">
                  <c:v>2000.0</c:v>
                </c:pt>
                <c:pt idx="15">
                  <c:v>2001.0</c:v>
                </c:pt>
                <c:pt idx="16">
                  <c:v>2002.0</c:v>
                </c:pt>
                <c:pt idx="17">
                  <c:v>2003.0</c:v>
                </c:pt>
                <c:pt idx="18">
                  <c:v>2004.0</c:v>
                </c:pt>
                <c:pt idx="19">
                  <c:v>2005.0</c:v>
                </c:pt>
                <c:pt idx="20">
                  <c:v>2006.0</c:v>
                </c:pt>
                <c:pt idx="21">
                  <c:v>2007.0</c:v>
                </c:pt>
                <c:pt idx="22">
                  <c:v>2008.0</c:v>
                </c:pt>
                <c:pt idx="23">
                  <c:v>2009.0</c:v>
                </c:pt>
                <c:pt idx="24">
                  <c:v>2010.0</c:v>
                </c:pt>
                <c:pt idx="25">
                  <c:v>2011.0</c:v>
                </c:pt>
                <c:pt idx="26">
                  <c:v>2012.0</c:v>
                </c:pt>
                <c:pt idx="27">
                  <c:v>2013.0</c:v>
                </c:pt>
              </c:numCache>
            </c:numRef>
          </c:cat>
          <c:val>
            <c:numRef>
              <c:f>Sheet1!$F$3:$F$30</c:f>
              <c:numCache>
                <c:formatCode>0%</c:formatCode>
                <c:ptCount val="28"/>
                <c:pt idx="0">
                  <c:v>0.263157894736842</c:v>
                </c:pt>
                <c:pt idx="1">
                  <c:v>0.269662921348315</c:v>
                </c:pt>
                <c:pt idx="2">
                  <c:v>0.319148936170213</c:v>
                </c:pt>
                <c:pt idx="3">
                  <c:v>0.216216216216216</c:v>
                </c:pt>
                <c:pt idx="4">
                  <c:v>0.360655737704918</c:v>
                </c:pt>
                <c:pt idx="5">
                  <c:v>0.380434782608696</c:v>
                </c:pt>
                <c:pt idx="6">
                  <c:v>0.24390243902439</c:v>
                </c:pt>
                <c:pt idx="7">
                  <c:v>0.468085106382979</c:v>
                </c:pt>
                <c:pt idx="8">
                  <c:v>0.347826086956522</c:v>
                </c:pt>
                <c:pt idx="9">
                  <c:v>0.39344262295082</c:v>
                </c:pt>
                <c:pt idx="10">
                  <c:v>0.303030303030303</c:v>
                </c:pt>
                <c:pt idx="11">
                  <c:v>0.309859154929577</c:v>
                </c:pt>
                <c:pt idx="12">
                  <c:v>0.303571428571429</c:v>
                </c:pt>
                <c:pt idx="13">
                  <c:v>0.433333333333333</c:v>
                </c:pt>
                <c:pt idx="14">
                  <c:v>0.301369863013699</c:v>
                </c:pt>
                <c:pt idx="15">
                  <c:v>0.261904761904762</c:v>
                </c:pt>
                <c:pt idx="16">
                  <c:v>0.396551724137931</c:v>
                </c:pt>
                <c:pt idx="17">
                  <c:v>0.322368421052632</c:v>
                </c:pt>
                <c:pt idx="18">
                  <c:v>0.351515151515151</c:v>
                </c:pt>
                <c:pt idx="19">
                  <c:v>0.343283582089552</c:v>
                </c:pt>
                <c:pt idx="20">
                  <c:v>0.36036036036036</c:v>
                </c:pt>
                <c:pt idx="21">
                  <c:v>0.329545454545454</c:v>
                </c:pt>
                <c:pt idx="22">
                  <c:v>0.295081967213115</c:v>
                </c:pt>
                <c:pt idx="23">
                  <c:v>0.352272727272727</c:v>
                </c:pt>
                <c:pt idx="24">
                  <c:v>0.546875</c:v>
                </c:pt>
                <c:pt idx="25">
                  <c:v>0.272727272727273</c:v>
                </c:pt>
                <c:pt idx="26">
                  <c:v>0.464285714285714</c:v>
                </c:pt>
                <c:pt idx="27">
                  <c:v>0.484210526315789</c:v>
                </c:pt>
              </c:numCache>
            </c:numRef>
          </c:val>
          <c:smooth val="0"/>
        </c:ser>
        <c:ser>
          <c:idx val="1"/>
          <c:order val="1"/>
          <c:tx>
            <c:strRef>
              <c:f>Sheet1!$H$2</c:f>
              <c:strCache>
                <c:ptCount val="1"/>
                <c:pt idx="0">
                  <c:v>%Women UBCO</c:v>
                </c:pt>
              </c:strCache>
            </c:strRef>
          </c:tx>
          <c:marker>
            <c:symbol val="none"/>
          </c:marker>
          <c:cat>
            <c:numRef>
              <c:f>Sheet1!$A$3:$A$30</c:f>
              <c:numCache>
                <c:formatCode>General</c:formatCode>
                <c:ptCount val="28"/>
                <c:pt idx="0">
                  <c:v>1986.0</c:v>
                </c:pt>
                <c:pt idx="1">
                  <c:v>1987.0</c:v>
                </c:pt>
                <c:pt idx="2">
                  <c:v>1988.0</c:v>
                </c:pt>
                <c:pt idx="3">
                  <c:v>1989.0</c:v>
                </c:pt>
                <c:pt idx="4">
                  <c:v>1990.0</c:v>
                </c:pt>
                <c:pt idx="5">
                  <c:v>1991.0</c:v>
                </c:pt>
                <c:pt idx="6">
                  <c:v>1992.0</c:v>
                </c:pt>
                <c:pt idx="7">
                  <c:v>1993.0</c:v>
                </c:pt>
                <c:pt idx="8">
                  <c:v>1994.0</c:v>
                </c:pt>
                <c:pt idx="9">
                  <c:v>1995.0</c:v>
                </c:pt>
                <c:pt idx="10">
                  <c:v>1996.0</c:v>
                </c:pt>
                <c:pt idx="11">
                  <c:v>1997.0</c:v>
                </c:pt>
                <c:pt idx="12">
                  <c:v>1998.0</c:v>
                </c:pt>
                <c:pt idx="13">
                  <c:v>1999.0</c:v>
                </c:pt>
                <c:pt idx="14">
                  <c:v>2000.0</c:v>
                </c:pt>
                <c:pt idx="15">
                  <c:v>2001.0</c:v>
                </c:pt>
                <c:pt idx="16">
                  <c:v>2002.0</c:v>
                </c:pt>
                <c:pt idx="17">
                  <c:v>2003.0</c:v>
                </c:pt>
                <c:pt idx="18">
                  <c:v>2004.0</c:v>
                </c:pt>
                <c:pt idx="19">
                  <c:v>2005.0</c:v>
                </c:pt>
                <c:pt idx="20">
                  <c:v>2006.0</c:v>
                </c:pt>
                <c:pt idx="21">
                  <c:v>2007.0</c:v>
                </c:pt>
                <c:pt idx="22">
                  <c:v>2008.0</c:v>
                </c:pt>
                <c:pt idx="23">
                  <c:v>2009.0</c:v>
                </c:pt>
                <c:pt idx="24">
                  <c:v>2010.0</c:v>
                </c:pt>
                <c:pt idx="25">
                  <c:v>2011.0</c:v>
                </c:pt>
                <c:pt idx="26">
                  <c:v>2012.0</c:v>
                </c:pt>
                <c:pt idx="27">
                  <c:v>2013.0</c:v>
                </c:pt>
              </c:numCache>
            </c:numRef>
          </c:cat>
          <c:val>
            <c:numRef>
              <c:f>Sheet1!$H$3:$H$30</c:f>
              <c:numCache>
                <c:formatCode>General</c:formatCode>
                <c:ptCount val="28"/>
                <c:pt idx="20" formatCode="0%">
                  <c:v>0.484</c:v>
                </c:pt>
                <c:pt idx="21" formatCode="0%">
                  <c:v>0.435</c:v>
                </c:pt>
                <c:pt idx="22" formatCode="0%">
                  <c:v>0.297</c:v>
                </c:pt>
                <c:pt idx="23" formatCode="0%">
                  <c:v>0.353</c:v>
                </c:pt>
                <c:pt idx="24" formatCode="0%">
                  <c:v>0.5</c:v>
                </c:pt>
                <c:pt idx="25" formatCode="0%">
                  <c:v>0.47</c:v>
                </c:pt>
                <c:pt idx="26" formatCode="0%">
                  <c:v>0.611111111111111</c:v>
                </c:pt>
                <c:pt idx="27" formatCode="0%">
                  <c:v>0.52</c:v>
                </c:pt>
              </c:numCache>
            </c:numRef>
          </c:val>
          <c:smooth val="0"/>
        </c:ser>
        <c:ser>
          <c:idx val="2"/>
          <c:order val="2"/>
          <c:tx>
            <c:strRef>
              <c:f>Sheet1!$I$2</c:f>
              <c:strCache>
                <c:ptCount val="1"/>
                <c:pt idx="0">
                  <c:v>% Women Available</c:v>
                </c:pt>
              </c:strCache>
            </c:strRef>
          </c:tx>
          <c:marker>
            <c:symbol val="none"/>
          </c:marker>
          <c:cat>
            <c:numRef>
              <c:f>Sheet1!$A$3:$A$30</c:f>
              <c:numCache>
                <c:formatCode>General</c:formatCode>
                <c:ptCount val="28"/>
                <c:pt idx="0">
                  <c:v>1986.0</c:v>
                </c:pt>
                <c:pt idx="1">
                  <c:v>1987.0</c:v>
                </c:pt>
                <c:pt idx="2">
                  <c:v>1988.0</c:v>
                </c:pt>
                <c:pt idx="3">
                  <c:v>1989.0</c:v>
                </c:pt>
                <c:pt idx="4">
                  <c:v>1990.0</c:v>
                </c:pt>
                <c:pt idx="5">
                  <c:v>1991.0</c:v>
                </c:pt>
                <c:pt idx="6">
                  <c:v>1992.0</c:v>
                </c:pt>
                <c:pt idx="7">
                  <c:v>1993.0</c:v>
                </c:pt>
                <c:pt idx="8">
                  <c:v>1994.0</c:v>
                </c:pt>
                <c:pt idx="9">
                  <c:v>1995.0</c:v>
                </c:pt>
                <c:pt idx="10">
                  <c:v>1996.0</c:v>
                </c:pt>
                <c:pt idx="11">
                  <c:v>1997.0</c:v>
                </c:pt>
                <c:pt idx="12">
                  <c:v>1998.0</c:v>
                </c:pt>
                <c:pt idx="13">
                  <c:v>1999.0</c:v>
                </c:pt>
                <c:pt idx="14">
                  <c:v>2000.0</c:v>
                </c:pt>
                <c:pt idx="15">
                  <c:v>2001.0</c:v>
                </c:pt>
                <c:pt idx="16">
                  <c:v>2002.0</c:v>
                </c:pt>
                <c:pt idx="17">
                  <c:v>2003.0</c:v>
                </c:pt>
                <c:pt idx="18">
                  <c:v>2004.0</c:v>
                </c:pt>
                <c:pt idx="19">
                  <c:v>2005.0</c:v>
                </c:pt>
                <c:pt idx="20">
                  <c:v>2006.0</c:v>
                </c:pt>
                <c:pt idx="21">
                  <c:v>2007.0</c:v>
                </c:pt>
                <c:pt idx="22">
                  <c:v>2008.0</c:v>
                </c:pt>
                <c:pt idx="23">
                  <c:v>2009.0</c:v>
                </c:pt>
                <c:pt idx="24">
                  <c:v>2010.0</c:v>
                </c:pt>
                <c:pt idx="25">
                  <c:v>2011.0</c:v>
                </c:pt>
                <c:pt idx="26">
                  <c:v>2012.0</c:v>
                </c:pt>
                <c:pt idx="27">
                  <c:v>2013.0</c:v>
                </c:pt>
              </c:numCache>
            </c:numRef>
          </c:cat>
          <c:val>
            <c:numRef>
              <c:f>Sheet1!$I$3:$I$30</c:f>
              <c:numCache>
                <c:formatCode>General</c:formatCode>
                <c:ptCount val="28"/>
                <c:pt idx="10" formatCode="0%">
                  <c:v>0.345</c:v>
                </c:pt>
                <c:pt idx="11" formatCode="0%">
                  <c:v>0.345</c:v>
                </c:pt>
                <c:pt idx="12" formatCode="0%">
                  <c:v>0.345</c:v>
                </c:pt>
                <c:pt idx="13" formatCode="0%">
                  <c:v>0.345</c:v>
                </c:pt>
                <c:pt idx="14" formatCode="0%">
                  <c:v>0.345</c:v>
                </c:pt>
                <c:pt idx="15" formatCode="0%">
                  <c:v>0.362</c:v>
                </c:pt>
                <c:pt idx="16" formatCode="0%">
                  <c:v>0.362</c:v>
                </c:pt>
                <c:pt idx="17" formatCode="0%">
                  <c:v>0.362</c:v>
                </c:pt>
                <c:pt idx="18" formatCode="0%">
                  <c:v>0.362</c:v>
                </c:pt>
                <c:pt idx="19" formatCode="0%">
                  <c:v>0.362</c:v>
                </c:pt>
                <c:pt idx="20" formatCode="0%">
                  <c:v>0.396</c:v>
                </c:pt>
                <c:pt idx="21" formatCode="0%">
                  <c:v>0.396</c:v>
                </c:pt>
                <c:pt idx="22" formatCode="0%">
                  <c:v>0.396</c:v>
                </c:pt>
                <c:pt idx="23" formatCode="0%">
                  <c:v>0.396</c:v>
                </c:pt>
                <c:pt idx="24" formatCode="0%">
                  <c:v>0.396</c:v>
                </c:pt>
                <c:pt idx="25" formatCode="0%">
                  <c:v>0.396</c:v>
                </c:pt>
                <c:pt idx="26" formatCode="0%">
                  <c:v>0.396</c:v>
                </c:pt>
                <c:pt idx="27" formatCode="0%">
                  <c:v>0.396</c:v>
                </c:pt>
              </c:numCache>
            </c:numRef>
          </c:val>
          <c:smooth val="0"/>
        </c:ser>
        <c:dLbls>
          <c:showLegendKey val="0"/>
          <c:showVal val="0"/>
          <c:showCatName val="0"/>
          <c:showSerName val="0"/>
          <c:showPercent val="0"/>
          <c:showBubbleSize val="0"/>
        </c:dLbls>
        <c:marker val="1"/>
        <c:smooth val="0"/>
        <c:axId val="461377704"/>
        <c:axId val="417177736"/>
      </c:lineChart>
      <c:catAx>
        <c:axId val="461377704"/>
        <c:scaling>
          <c:orientation val="minMax"/>
        </c:scaling>
        <c:delete val="0"/>
        <c:axPos val="b"/>
        <c:numFmt formatCode="General" sourceLinked="1"/>
        <c:majorTickMark val="cross"/>
        <c:minorTickMark val="none"/>
        <c:tickLblPos val="nextTo"/>
        <c:crossAx val="417177736"/>
        <c:crosses val="autoZero"/>
        <c:auto val="1"/>
        <c:lblAlgn val="ctr"/>
        <c:lblOffset val="100"/>
        <c:noMultiLvlLbl val="0"/>
      </c:catAx>
      <c:valAx>
        <c:axId val="417177736"/>
        <c:scaling>
          <c:orientation val="minMax"/>
          <c:min val="0.2"/>
        </c:scaling>
        <c:delete val="0"/>
        <c:axPos val="l"/>
        <c:majorGridlines/>
        <c:title>
          <c:tx>
            <c:rich>
              <a:bodyPr/>
              <a:lstStyle/>
              <a:p>
                <a:pPr>
                  <a:defRPr/>
                </a:pPr>
                <a:endParaRPr lang="en-US"/>
              </a:p>
              <a:p>
                <a:pPr>
                  <a:defRPr/>
                </a:pPr>
                <a:endParaRPr lang="en-US"/>
              </a:p>
            </c:rich>
          </c:tx>
          <c:layout/>
          <c:overlay val="0"/>
        </c:title>
        <c:numFmt formatCode="0%" sourceLinked="1"/>
        <c:majorTickMark val="cross"/>
        <c:minorTickMark val="none"/>
        <c:tickLblPos val="nextTo"/>
        <c:crossAx val="461377704"/>
        <c:crosses val="autoZero"/>
        <c:crossBetween val="between"/>
        <c:majorUnit val="0.05"/>
      </c:valAx>
    </c:plotArea>
    <c:legend>
      <c:legendPos val="r"/>
      <c:layout>
        <c:manualLayout>
          <c:xMode val="edge"/>
          <c:yMode val="edge"/>
          <c:x val="0.782307905174799"/>
          <c:y val="0.575531993685974"/>
          <c:w val="0.212157550041509"/>
          <c:h val="0.15522643002958"/>
        </c:manualLayout>
      </c:layout>
      <c:overlay val="0"/>
    </c:legend>
    <c:plotVisOnly val="1"/>
    <c:dispBlanksAs val="gap"/>
    <c:showDLblsOverMax val="0"/>
  </c:chart>
  <c:externalData r:id="rId1">
    <c:autoUpdate val="0"/>
  </c:externalData>
  <c:userShapes r:id="rId2"/>
</c:chartSpace>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0.90167</cdr:x>
      <cdr:y>0.66528</cdr:y>
    </cdr:from>
    <cdr:to>
      <cdr:x>0.98954</cdr:x>
      <cdr:y>0.70062</cdr:y>
    </cdr:to>
    <cdr:sp macro="" textlink="">
      <cdr:nvSpPr>
        <cdr:cNvPr id="9" name="TextBox 8"/>
        <cdr:cNvSpPr txBox="1"/>
      </cdr:nvSpPr>
      <cdr:spPr>
        <a:xfrm xmlns:a="http://schemas.openxmlformats.org/drawingml/2006/main">
          <a:off x="8210550" y="3048000"/>
          <a:ext cx="800100" cy="1619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0.75095</cdr:x>
      <cdr:y>0.49735</cdr:y>
    </cdr:from>
    <cdr:to>
      <cdr:x>0.81736</cdr:x>
      <cdr:y>0.50794</cdr:y>
    </cdr:to>
    <cdr:sp macro="" textlink="">
      <cdr:nvSpPr>
        <cdr:cNvPr id="3" name="TextBox 2"/>
        <cdr:cNvSpPr txBox="1"/>
      </cdr:nvSpPr>
      <cdr:spPr>
        <a:xfrm xmlns:a="http://schemas.openxmlformats.org/drawingml/2006/main" flipH="1">
          <a:off x="5169535" y="2148840"/>
          <a:ext cx="457200" cy="45719"/>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n-US" sz="1100"/>
            <a:t>*</a:t>
          </a:r>
        </a:p>
      </cdr:txBody>
    </cdr:sp>
  </cdr:relSizeAnchor>
  <cdr:relSizeAnchor xmlns:cdr="http://schemas.openxmlformats.org/drawingml/2006/chartDrawing">
    <cdr:from>
      <cdr:x>0.82636</cdr:x>
      <cdr:y>0.82982</cdr:y>
    </cdr:from>
    <cdr:to>
      <cdr:x>0.85656</cdr:x>
      <cdr:y>1</cdr:y>
    </cdr:to>
    <cdr:sp macro="" textlink="">
      <cdr:nvSpPr>
        <cdr:cNvPr id="4" name="TextBox 3"/>
        <cdr:cNvSpPr txBox="1"/>
      </cdr:nvSpPr>
      <cdr:spPr>
        <a:xfrm xmlns:a="http://schemas.openxmlformats.org/drawingml/2006/main" rot="16200000">
          <a:off x="5969635" y="4187190"/>
          <a:ext cx="800100" cy="2286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0.75177</cdr:x>
      <cdr:y>0.9057</cdr:y>
    </cdr:from>
    <cdr:to>
      <cdr:x>0.78405</cdr:x>
      <cdr:y>0.98387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rot="16019233">
          <a:off x="5117451" y="3970832"/>
          <a:ext cx="337736" cy="222277"/>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5959</Characters>
  <Application>Microsoft Macintosh Word</Application>
  <DocSecurity>0</DocSecurity>
  <Lines>49</Lines>
  <Paragraphs>13</Paragraphs>
  <ScaleCrop>false</ScaleCrop>
  <Company>ubc</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UBC</dc:creator>
  <cp:keywords/>
  <cp:lastModifiedBy>Rachel Kuske</cp:lastModifiedBy>
  <cp:revision>2</cp:revision>
  <cp:lastPrinted>2014-12-04T05:01:00Z</cp:lastPrinted>
  <dcterms:created xsi:type="dcterms:W3CDTF">2015-05-29T21:25:00Z</dcterms:created>
  <dcterms:modified xsi:type="dcterms:W3CDTF">2015-05-29T21:25:00Z</dcterms:modified>
</cp:coreProperties>
</file>